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B75E8" w14:textId="77777777" w:rsidR="00F50B7A" w:rsidRPr="00855495" w:rsidRDefault="00F50B7A" w:rsidP="00827F06">
      <w:pPr>
        <w:pStyle w:val="ListeParagraf"/>
        <w:numPr>
          <w:ilvl w:val="0"/>
          <w:numId w:val="10"/>
        </w:numPr>
        <w:spacing w:after="0"/>
        <w:ind w:left="284" w:hanging="284"/>
        <w:jc w:val="both"/>
        <w:rPr>
          <w:rFonts w:ascii="Arial" w:eastAsia="Times New Roman" w:hAnsi="Arial" w:cs="Arial"/>
          <w:b/>
          <w:bCs/>
        </w:rPr>
      </w:pPr>
      <w:r w:rsidRPr="00855495">
        <w:rPr>
          <w:rFonts w:ascii="Arial" w:eastAsia="Times New Roman" w:hAnsi="Arial" w:cs="Arial"/>
          <w:b/>
          <w:bCs/>
        </w:rPr>
        <w:t>AMAÇ</w:t>
      </w:r>
    </w:p>
    <w:p w14:paraId="29B73035" w14:textId="77777777" w:rsidR="00982F04" w:rsidRPr="00855495" w:rsidRDefault="00440A9B" w:rsidP="00827F06">
      <w:pPr>
        <w:pStyle w:val="NormalWeb"/>
        <w:spacing w:before="0" w:beforeAutospacing="0" w:line="276" w:lineRule="auto"/>
        <w:jc w:val="both"/>
        <w:rPr>
          <w:rFonts w:ascii="Arial" w:hAnsi="Arial" w:cs="Arial"/>
          <w:color w:val="auto"/>
          <w:sz w:val="22"/>
          <w:szCs w:val="22"/>
        </w:rPr>
      </w:pPr>
      <w:r w:rsidRPr="00855495">
        <w:rPr>
          <w:rFonts w:ascii="Arial" w:hAnsi="Arial" w:cs="Arial"/>
          <w:sz w:val="22"/>
          <w:szCs w:val="22"/>
        </w:rPr>
        <w:t>Bu prosedürün amacı</w:t>
      </w:r>
      <w:r w:rsidR="000011F7" w:rsidRPr="00855495">
        <w:rPr>
          <w:rFonts w:ascii="Arial" w:hAnsi="Arial" w:cs="Arial"/>
          <w:sz w:val="22"/>
          <w:szCs w:val="22"/>
        </w:rPr>
        <w:t>;</w:t>
      </w:r>
      <w:r w:rsidR="005E2908" w:rsidRPr="00855495">
        <w:rPr>
          <w:rFonts w:ascii="Arial" w:hAnsi="Arial" w:cs="Arial"/>
          <w:sz w:val="22"/>
          <w:szCs w:val="22"/>
        </w:rPr>
        <w:t xml:space="preserve"> </w:t>
      </w:r>
      <w:r w:rsidR="00982F04" w:rsidRPr="00855495">
        <w:rPr>
          <w:rFonts w:ascii="Arial" w:hAnsi="Arial" w:cs="Arial"/>
          <w:color w:val="auto"/>
          <w:sz w:val="22"/>
          <w:szCs w:val="22"/>
        </w:rPr>
        <w:t xml:space="preserve">TS EN ISO/IEC 17020 standardına göre gerçekleştirilen </w:t>
      </w:r>
      <w:r w:rsidR="00982F04" w:rsidRPr="00855495">
        <w:rPr>
          <w:rFonts w:ascii="Arial" w:hAnsi="Arial" w:cs="Arial"/>
          <w:sz w:val="22"/>
          <w:szCs w:val="22"/>
        </w:rPr>
        <w:t>muayene faaliyetlerinin tüm aşamalarında tarafsızlığı, bağımsızlığı, gizliliği ve güvenliği yönetmek, olası riskleri belirlemek, bu riskleri en aza indirmek veya ortadan kaldırma amacı ile</w:t>
      </w:r>
      <w:r w:rsidR="00982F04" w:rsidRPr="00855495">
        <w:rPr>
          <w:rFonts w:ascii="Arial" w:hAnsi="Arial" w:cs="Arial"/>
          <w:color w:val="auto"/>
          <w:sz w:val="22"/>
          <w:szCs w:val="22"/>
        </w:rPr>
        <w:t xml:space="preserve"> izlenecek yöntemi belirlemektir. </w:t>
      </w:r>
    </w:p>
    <w:p w14:paraId="73C11C72" w14:textId="77777777" w:rsidR="00440A9B" w:rsidRPr="00855495" w:rsidRDefault="00440A9B" w:rsidP="00827F06">
      <w:pPr>
        <w:pStyle w:val="ListeParagraf"/>
        <w:numPr>
          <w:ilvl w:val="0"/>
          <w:numId w:val="10"/>
        </w:numPr>
        <w:spacing w:after="0"/>
        <w:ind w:left="284" w:hanging="284"/>
        <w:jc w:val="both"/>
        <w:rPr>
          <w:rFonts w:ascii="Arial" w:eastAsia="Times New Roman" w:hAnsi="Arial" w:cs="Arial"/>
          <w:b/>
          <w:bCs/>
        </w:rPr>
      </w:pPr>
      <w:r w:rsidRPr="00855495">
        <w:rPr>
          <w:rFonts w:ascii="Arial" w:eastAsia="Times New Roman" w:hAnsi="Arial" w:cs="Arial"/>
          <w:b/>
          <w:bCs/>
        </w:rPr>
        <w:t>KAPSAM</w:t>
      </w:r>
    </w:p>
    <w:p w14:paraId="526D2E49" w14:textId="77777777" w:rsidR="00B53718" w:rsidRPr="00855495" w:rsidRDefault="00DE70B7" w:rsidP="00827F06">
      <w:pPr>
        <w:jc w:val="both"/>
        <w:rPr>
          <w:rFonts w:ascii="Arial" w:eastAsia="Times New Roman" w:hAnsi="Arial" w:cs="Arial"/>
        </w:rPr>
      </w:pPr>
      <w:r w:rsidRPr="00855495">
        <w:rPr>
          <w:rFonts w:ascii="Arial" w:eastAsia="Times New Roman" w:hAnsi="Arial" w:cs="Arial"/>
        </w:rPr>
        <w:t>Bu prosedür,</w:t>
      </w:r>
      <w:r w:rsidR="00982F04" w:rsidRPr="00855495">
        <w:rPr>
          <w:rFonts w:ascii="Arial" w:hAnsi="Arial" w:cs="Arial"/>
        </w:rPr>
        <w:t xml:space="preserve"> </w:t>
      </w:r>
      <w:r w:rsidR="00982F04" w:rsidRPr="00855495">
        <w:rPr>
          <w:rFonts w:ascii="Arial" w:eastAsia="Times New Roman" w:hAnsi="Arial" w:cs="Arial"/>
        </w:rPr>
        <w:t>muayene faaliyetlerinin tüm aşamalarında elde edilen tüm bilgileri</w:t>
      </w:r>
      <w:r w:rsidRPr="00855495">
        <w:rPr>
          <w:rFonts w:ascii="Arial" w:eastAsia="Times New Roman" w:hAnsi="Arial" w:cs="Arial"/>
        </w:rPr>
        <w:t xml:space="preserve"> </w:t>
      </w:r>
      <w:r w:rsidR="00381E4A" w:rsidRPr="00855495">
        <w:rPr>
          <w:rFonts w:ascii="Arial" w:eastAsia="Times New Roman" w:hAnsi="Arial" w:cs="Arial"/>
        </w:rPr>
        <w:t>kapsamaktadır</w:t>
      </w:r>
      <w:r w:rsidRPr="00855495">
        <w:rPr>
          <w:rFonts w:ascii="Arial" w:eastAsia="Times New Roman" w:hAnsi="Arial" w:cs="Arial"/>
        </w:rPr>
        <w:t>.</w:t>
      </w:r>
    </w:p>
    <w:p w14:paraId="41957D83" w14:textId="77777777" w:rsidR="00465B7D" w:rsidRPr="00855495" w:rsidRDefault="00465B7D" w:rsidP="00827F06">
      <w:pPr>
        <w:pStyle w:val="ListeParagraf"/>
        <w:numPr>
          <w:ilvl w:val="0"/>
          <w:numId w:val="10"/>
        </w:numPr>
        <w:spacing w:after="0"/>
        <w:ind w:left="284" w:hanging="284"/>
        <w:jc w:val="both"/>
        <w:rPr>
          <w:rFonts w:ascii="Arial" w:eastAsia="Times New Roman" w:hAnsi="Arial" w:cs="Arial"/>
          <w:b/>
        </w:rPr>
      </w:pPr>
      <w:r w:rsidRPr="00855495">
        <w:rPr>
          <w:rFonts w:ascii="Arial" w:eastAsia="Times New Roman" w:hAnsi="Arial" w:cs="Arial"/>
          <w:b/>
        </w:rPr>
        <w:t>TANIMLAR</w:t>
      </w:r>
      <w:r w:rsidR="00755ACD" w:rsidRPr="00855495">
        <w:rPr>
          <w:rFonts w:ascii="Arial" w:eastAsia="Times New Roman" w:hAnsi="Arial" w:cs="Arial"/>
          <w:b/>
        </w:rPr>
        <w:t xml:space="preserve"> ve KISALTMALAR</w:t>
      </w:r>
    </w:p>
    <w:p w14:paraId="1EFCE003" w14:textId="77777777" w:rsidR="001D2A69" w:rsidRPr="00855495" w:rsidRDefault="001D2A69" w:rsidP="00827F06">
      <w:pPr>
        <w:spacing w:after="0"/>
        <w:jc w:val="both"/>
        <w:rPr>
          <w:rFonts w:ascii="Arial" w:eastAsia="Times New Roman" w:hAnsi="Arial" w:cs="Arial"/>
        </w:rPr>
      </w:pPr>
      <w:r w:rsidRPr="00855495">
        <w:rPr>
          <w:rFonts w:ascii="Arial" w:eastAsia="Times New Roman" w:hAnsi="Arial" w:cs="Arial"/>
          <w:b/>
        </w:rPr>
        <w:t>Tarafsızlık:</w:t>
      </w:r>
      <w:r w:rsidRPr="00855495">
        <w:rPr>
          <w:rFonts w:ascii="Arial" w:eastAsia="Times New Roman" w:hAnsi="Arial" w:cs="Arial"/>
        </w:rPr>
        <w:t xml:space="preserve"> Objektifliğin varlığı.</w:t>
      </w:r>
    </w:p>
    <w:p w14:paraId="662A8943" w14:textId="26D20083" w:rsidR="001D2A69" w:rsidRPr="00855495" w:rsidRDefault="001D2A69" w:rsidP="00827F06">
      <w:pPr>
        <w:spacing w:after="0"/>
        <w:jc w:val="both"/>
        <w:rPr>
          <w:rFonts w:ascii="Arial" w:eastAsia="Times New Roman" w:hAnsi="Arial" w:cs="Arial"/>
        </w:rPr>
      </w:pPr>
      <w:r w:rsidRPr="00855495">
        <w:rPr>
          <w:rFonts w:ascii="Arial" w:eastAsia="Times New Roman" w:hAnsi="Arial" w:cs="Arial"/>
          <w:b/>
        </w:rPr>
        <w:t xml:space="preserve">Not </w:t>
      </w:r>
      <w:r w:rsidR="00CA11E0" w:rsidRPr="00855495">
        <w:rPr>
          <w:rFonts w:ascii="Arial" w:eastAsia="Times New Roman" w:hAnsi="Arial" w:cs="Arial"/>
          <w:b/>
        </w:rPr>
        <w:t>1-</w:t>
      </w:r>
      <w:r w:rsidRPr="00855495">
        <w:rPr>
          <w:rFonts w:ascii="Arial" w:eastAsia="Times New Roman" w:hAnsi="Arial" w:cs="Arial"/>
        </w:rPr>
        <w:t xml:space="preserve"> Objektiflik, taraflar arasında çıkar çatışmalarının olmaması veya bunların kuruluşun takip eden faaliyetlerini olumsuz olarak etkilemeyecek bir şekilde çözümlendiği anlamına gelir.</w:t>
      </w:r>
    </w:p>
    <w:p w14:paraId="08E0B5B2" w14:textId="4C110803" w:rsidR="00B53718" w:rsidRPr="00855495" w:rsidRDefault="001D2A69" w:rsidP="00827F06">
      <w:pPr>
        <w:spacing w:after="0"/>
        <w:jc w:val="both"/>
        <w:rPr>
          <w:rFonts w:ascii="Arial" w:eastAsia="Times New Roman" w:hAnsi="Arial" w:cs="Arial"/>
        </w:rPr>
      </w:pPr>
      <w:r w:rsidRPr="00855495">
        <w:rPr>
          <w:rFonts w:ascii="Arial" w:eastAsia="Times New Roman" w:hAnsi="Arial" w:cs="Arial"/>
          <w:b/>
        </w:rPr>
        <w:t xml:space="preserve">Not </w:t>
      </w:r>
      <w:r w:rsidR="00CA11E0" w:rsidRPr="00855495">
        <w:rPr>
          <w:rFonts w:ascii="Arial" w:eastAsia="Times New Roman" w:hAnsi="Arial" w:cs="Arial"/>
          <w:b/>
        </w:rPr>
        <w:t>2-</w:t>
      </w:r>
      <w:r w:rsidRPr="00855495">
        <w:rPr>
          <w:rFonts w:ascii="Arial" w:eastAsia="Times New Roman" w:hAnsi="Arial" w:cs="Arial"/>
        </w:rPr>
        <w:t xml:space="preserve"> Tarafsızlığın esasının aksettirilmesinde faydalı olan diğer terimler; bağımsızlık, çıkar çatışmalarından uz</w:t>
      </w:r>
      <w:r w:rsidR="00750818" w:rsidRPr="00855495">
        <w:rPr>
          <w:rFonts w:ascii="Arial" w:eastAsia="Times New Roman" w:hAnsi="Arial" w:cs="Arial"/>
        </w:rPr>
        <w:t>ak olma, yanlılıktan uzak olma,</w:t>
      </w:r>
      <w:r w:rsidRPr="00855495">
        <w:rPr>
          <w:rFonts w:ascii="Arial" w:eastAsia="Times New Roman" w:hAnsi="Arial" w:cs="Arial"/>
        </w:rPr>
        <w:t xml:space="preserve"> nötr olma, adil olma, aç</w:t>
      </w:r>
      <w:r w:rsidR="00750818" w:rsidRPr="00855495">
        <w:rPr>
          <w:rFonts w:ascii="Arial" w:eastAsia="Times New Roman" w:hAnsi="Arial" w:cs="Arial"/>
        </w:rPr>
        <w:t>ık fikirlilik, iltimas yapmama ve</w:t>
      </w:r>
      <w:r w:rsidRPr="00855495">
        <w:rPr>
          <w:rFonts w:ascii="Arial" w:eastAsia="Times New Roman" w:hAnsi="Arial" w:cs="Arial"/>
        </w:rPr>
        <w:t xml:space="preserve"> dengenin korunmasıdır.</w:t>
      </w:r>
    </w:p>
    <w:p w14:paraId="2FA725C9" w14:textId="77777777" w:rsidR="00B53718" w:rsidRPr="00855495" w:rsidRDefault="00B53718" w:rsidP="00827F06">
      <w:pPr>
        <w:widowControl w:val="0"/>
        <w:spacing w:after="0"/>
        <w:jc w:val="both"/>
        <w:rPr>
          <w:rFonts w:ascii="Arial" w:hAnsi="Arial" w:cs="Arial"/>
        </w:rPr>
      </w:pPr>
      <w:r w:rsidRPr="00855495">
        <w:rPr>
          <w:rFonts w:ascii="Arial" w:eastAsia="Times New Roman" w:hAnsi="Arial" w:cs="Arial"/>
          <w:b/>
          <w:bCs/>
        </w:rPr>
        <w:t xml:space="preserve">Güvenlik: </w:t>
      </w:r>
      <w:r w:rsidR="00750818" w:rsidRPr="00855495">
        <w:rPr>
          <w:rFonts w:ascii="Arial" w:hAnsi="Arial" w:cs="Arial"/>
        </w:rPr>
        <w:t>Bilginin izinsiz</w:t>
      </w:r>
      <w:r w:rsidRPr="00855495">
        <w:rPr>
          <w:rFonts w:ascii="Arial" w:hAnsi="Arial" w:cs="Arial"/>
        </w:rPr>
        <w:t xml:space="preserve"> kullanım, değiştirilme, ifşa edilme, ortadan kaldırılma, el değiştirme ve bilgiye hasar verilmesini önlemek</w:t>
      </w:r>
      <w:r w:rsidR="003329C3" w:rsidRPr="00855495">
        <w:rPr>
          <w:rFonts w:ascii="Arial" w:hAnsi="Arial" w:cs="Arial"/>
        </w:rPr>
        <w:t>.</w:t>
      </w:r>
    </w:p>
    <w:p w14:paraId="3A616BBC" w14:textId="77777777" w:rsidR="00B53718" w:rsidRPr="00855495" w:rsidRDefault="00B53718" w:rsidP="00827F06">
      <w:pPr>
        <w:widowControl w:val="0"/>
        <w:spacing w:after="0"/>
        <w:jc w:val="both"/>
        <w:rPr>
          <w:rFonts w:ascii="Arial" w:hAnsi="Arial" w:cs="Arial"/>
        </w:rPr>
      </w:pPr>
      <w:r w:rsidRPr="00855495">
        <w:rPr>
          <w:rFonts w:ascii="Arial" w:eastAsia="Times New Roman" w:hAnsi="Arial" w:cs="Arial"/>
          <w:b/>
          <w:bCs/>
        </w:rPr>
        <w:t>Gizlilik: </w:t>
      </w:r>
      <w:r w:rsidRPr="00855495">
        <w:rPr>
          <w:rFonts w:ascii="Arial" w:hAnsi="Arial" w:cs="Arial"/>
        </w:rPr>
        <w:t>Bilginin yetk</w:t>
      </w:r>
      <w:r w:rsidR="0002760F" w:rsidRPr="00855495">
        <w:rPr>
          <w:rFonts w:ascii="Arial" w:hAnsi="Arial" w:cs="Arial"/>
        </w:rPr>
        <w:t xml:space="preserve">isiz kişilerin eline geçmesine </w:t>
      </w:r>
      <w:r w:rsidRPr="00855495">
        <w:rPr>
          <w:rFonts w:ascii="Arial" w:hAnsi="Arial" w:cs="Arial"/>
        </w:rPr>
        <w:t>karşı korunması</w:t>
      </w:r>
      <w:r w:rsidR="003329C3" w:rsidRPr="00855495">
        <w:rPr>
          <w:rFonts w:ascii="Arial" w:hAnsi="Arial" w:cs="Arial"/>
        </w:rPr>
        <w:t>dır.</w:t>
      </w:r>
    </w:p>
    <w:p w14:paraId="466ECB5C" w14:textId="77777777" w:rsidR="00B53718" w:rsidRPr="00855495" w:rsidRDefault="00B53718" w:rsidP="00827F06">
      <w:pPr>
        <w:spacing w:after="0"/>
        <w:jc w:val="both"/>
        <w:rPr>
          <w:rFonts w:ascii="Arial" w:eastAsia="Times New Roman" w:hAnsi="Arial" w:cs="Arial"/>
          <w:b/>
        </w:rPr>
      </w:pPr>
    </w:p>
    <w:p w14:paraId="237C6DE0" w14:textId="77777777" w:rsidR="00440A9B" w:rsidRPr="00855495" w:rsidRDefault="00440A9B" w:rsidP="00827F06">
      <w:pPr>
        <w:pStyle w:val="ListeParagraf"/>
        <w:numPr>
          <w:ilvl w:val="0"/>
          <w:numId w:val="10"/>
        </w:numPr>
        <w:spacing w:after="0"/>
        <w:ind w:left="284" w:hanging="284"/>
        <w:jc w:val="both"/>
        <w:rPr>
          <w:rFonts w:ascii="Arial" w:eastAsia="Times New Roman" w:hAnsi="Arial" w:cs="Arial"/>
          <w:b/>
          <w:bCs/>
        </w:rPr>
      </w:pPr>
      <w:r w:rsidRPr="00855495">
        <w:rPr>
          <w:rFonts w:ascii="Arial" w:eastAsia="Times New Roman" w:hAnsi="Arial" w:cs="Arial"/>
          <w:b/>
        </w:rPr>
        <w:t>SORUMLULUK</w:t>
      </w:r>
    </w:p>
    <w:p w14:paraId="779001F7" w14:textId="1ACD7757" w:rsidR="00B53718" w:rsidRPr="00855495" w:rsidRDefault="00DE70B7" w:rsidP="00827F06">
      <w:pPr>
        <w:jc w:val="both"/>
        <w:rPr>
          <w:rFonts w:ascii="Arial" w:eastAsia="Times New Roman" w:hAnsi="Arial" w:cs="Arial"/>
        </w:rPr>
      </w:pPr>
      <w:r w:rsidRPr="00855495">
        <w:rPr>
          <w:rFonts w:ascii="Arial" w:eastAsia="Times New Roman" w:hAnsi="Arial" w:cs="Arial"/>
        </w:rPr>
        <w:t xml:space="preserve">Bu prosedürün uygulanmasından tüm </w:t>
      </w:r>
      <w:r w:rsidR="00855495" w:rsidRPr="00855495">
        <w:rPr>
          <w:rFonts w:ascii="Arial" w:eastAsia="Times New Roman" w:hAnsi="Arial" w:cs="Arial"/>
        </w:rPr>
        <w:t xml:space="preserve">Cereyan Mühendislik </w:t>
      </w:r>
      <w:r w:rsidRPr="00855495">
        <w:rPr>
          <w:rFonts w:ascii="Arial" w:eastAsia="Times New Roman" w:hAnsi="Arial" w:cs="Arial"/>
        </w:rPr>
        <w:t xml:space="preserve">çalışanları </w:t>
      </w:r>
      <w:r w:rsidR="00990FCC" w:rsidRPr="00855495">
        <w:rPr>
          <w:rFonts w:ascii="Arial" w:eastAsia="Times New Roman" w:hAnsi="Arial" w:cs="Arial"/>
        </w:rPr>
        <w:t>sorumludur.</w:t>
      </w:r>
    </w:p>
    <w:p w14:paraId="6AA84788" w14:textId="77777777" w:rsidR="00C03E9C" w:rsidRPr="00855495" w:rsidRDefault="00440A9B" w:rsidP="00827F06">
      <w:pPr>
        <w:pStyle w:val="ListeParagraf"/>
        <w:numPr>
          <w:ilvl w:val="0"/>
          <w:numId w:val="10"/>
        </w:numPr>
        <w:spacing w:after="0"/>
        <w:ind w:left="284" w:hanging="284"/>
        <w:jc w:val="both"/>
        <w:rPr>
          <w:rFonts w:ascii="Arial" w:eastAsia="Times New Roman" w:hAnsi="Arial" w:cs="Arial"/>
          <w:b/>
        </w:rPr>
      </w:pPr>
      <w:r w:rsidRPr="00855495">
        <w:rPr>
          <w:rFonts w:ascii="Arial" w:eastAsia="Times New Roman" w:hAnsi="Arial" w:cs="Arial"/>
          <w:b/>
        </w:rPr>
        <w:t>UYGULAMA</w:t>
      </w:r>
    </w:p>
    <w:p w14:paraId="54CD0E56" w14:textId="77777777" w:rsidR="00465B7D" w:rsidRPr="00855495" w:rsidRDefault="00D659AD" w:rsidP="00827F06">
      <w:pPr>
        <w:pStyle w:val="ListeParagraf"/>
        <w:numPr>
          <w:ilvl w:val="1"/>
          <w:numId w:val="10"/>
        </w:numPr>
        <w:spacing w:after="0"/>
        <w:jc w:val="both"/>
        <w:rPr>
          <w:rFonts w:ascii="Arial" w:eastAsia="Times New Roman" w:hAnsi="Arial" w:cs="Arial"/>
          <w:b/>
        </w:rPr>
      </w:pPr>
      <w:r w:rsidRPr="00855495">
        <w:rPr>
          <w:rFonts w:ascii="Arial" w:eastAsia="Times New Roman" w:hAnsi="Arial" w:cs="Arial"/>
          <w:b/>
        </w:rPr>
        <w:t>Tarafsızlık ve Bağımsızlık</w:t>
      </w:r>
    </w:p>
    <w:p w14:paraId="59ABE297" w14:textId="44478840" w:rsidR="008C4904" w:rsidRPr="00855495" w:rsidRDefault="00855495" w:rsidP="00827F06">
      <w:pPr>
        <w:pStyle w:val="ListeParagraf"/>
        <w:numPr>
          <w:ilvl w:val="2"/>
          <w:numId w:val="10"/>
        </w:numPr>
        <w:ind w:left="0" w:firstLine="0"/>
        <w:jc w:val="both"/>
        <w:rPr>
          <w:rFonts w:ascii="Arial" w:hAnsi="Arial" w:cs="Arial"/>
        </w:rPr>
      </w:pPr>
      <w:r w:rsidRPr="00855495">
        <w:rPr>
          <w:rFonts w:ascii="Arial" w:hAnsi="Arial" w:cs="Arial"/>
        </w:rPr>
        <w:t xml:space="preserve">Cereyan Mühendislik </w:t>
      </w:r>
      <w:r w:rsidR="008C4904" w:rsidRPr="00855495">
        <w:rPr>
          <w:rFonts w:ascii="Arial" w:hAnsi="Arial" w:cs="Arial"/>
        </w:rPr>
        <w:t>muayene faaliyetlerini TS EN ISO/IEC 17020 Standardının gerektirdiği gibi tarafsız bir şekilde yürütmektedir.</w:t>
      </w:r>
    </w:p>
    <w:p w14:paraId="3220A388" w14:textId="27596899" w:rsidR="008C4904" w:rsidRPr="00855495" w:rsidRDefault="00855495" w:rsidP="00827F06">
      <w:pPr>
        <w:pStyle w:val="ListeParagraf"/>
        <w:numPr>
          <w:ilvl w:val="2"/>
          <w:numId w:val="10"/>
        </w:numPr>
        <w:ind w:left="0" w:firstLine="0"/>
        <w:jc w:val="both"/>
        <w:rPr>
          <w:rFonts w:ascii="Arial" w:hAnsi="Arial" w:cs="Arial"/>
        </w:rPr>
      </w:pPr>
      <w:r w:rsidRPr="00855495">
        <w:rPr>
          <w:rFonts w:ascii="Arial" w:hAnsi="Arial" w:cs="Arial"/>
        </w:rPr>
        <w:t xml:space="preserve">Cereyan Mühendislik </w:t>
      </w:r>
      <w:r w:rsidR="008C4904" w:rsidRPr="00855495">
        <w:rPr>
          <w:rFonts w:ascii="Arial" w:hAnsi="Arial" w:cs="Arial"/>
        </w:rPr>
        <w:t xml:space="preserve">muayene faaliyetlerinin tarafsızlığından sorumludur, tarafsızlığını tehlikeye atacak ticari, mali veya diğer baskılara izin vermemektedir. </w:t>
      </w:r>
    </w:p>
    <w:p w14:paraId="292E68BB" w14:textId="63C1D4A4" w:rsidR="008C4904" w:rsidRPr="00855495" w:rsidRDefault="00855495" w:rsidP="00827F06">
      <w:pPr>
        <w:pStyle w:val="ListeParagraf"/>
        <w:numPr>
          <w:ilvl w:val="2"/>
          <w:numId w:val="10"/>
        </w:numPr>
        <w:ind w:left="0" w:firstLine="0"/>
        <w:jc w:val="both"/>
        <w:rPr>
          <w:rFonts w:ascii="Arial" w:hAnsi="Arial" w:cs="Arial"/>
        </w:rPr>
      </w:pPr>
      <w:r w:rsidRPr="00855495">
        <w:rPr>
          <w:rFonts w:ascii="Arial" w:hAnsi="Arial" w:cs="Arial"/>
        </w:rPr>
        <w:t xml:space="preserve">Cereyan Mühendislik, </w:t>
      </w:r>
      <w:r w:rsidR="008C4904" w:rsidRPr="00855495">
        <w:rPr>
          <w:rFonts w:ascii="Arial" w:hAnsi="Arial" w:cs="Arial"/>
        </w:rPr>
        <w:t>tarafsızlığına yönelik riskler</w:t>
      </w:r>
      <w:r w:rsidR="00C82E41" w:rsidRPr="00855495">
        <w:rPr>
          <w:rFonts w:ascii="Arial" w:hAnsi="Arial" w:cs="Arial"/>
        </w:rPr>
        <w:t>i</w:t>
      </w:r>
      <w:r w:rsidR="005B2140" w:rsidRPr="00855495">
        <w:rPr>
          <w:rFonts w:ascii="Arial" w:hAnsi="Arial" w:cs="Arial"/>
        </w:rPr>
        <w:t xml:space="preserve"> </w:t>
      </w:r>
      <w:r w:rsidR="008C4904" w:rsidRPr="00855495">
        <w:rPr>
          <w:rFonts w:ascii="Arial" w:hAnsi="Arial" w:cs="Arial"/>
        </w:rPr>
        <w:t xml:space="preserve">devamlı surette belirlemekte ve yılda 1 kez </w:t>
      </w:r>
      <w:r w:rsidR="00827F06" w:rsidRPr="00855495">
        <w:rPr>
          <w:rFonts w:ascii="Arial" w:hAnsi="Arial" w:cs="Arial"/>
        </w:rPr>
        <w:t xml:space="preserve">periyodik olarak </w:t>
      </w:r>
      <w:r w:rsidR="008C4904" w:rsidRPr="00855495">
        <w:rPr>
          <w:rFonts w:ascii="Arial" w:hAnsi="Arial" w:cs="Arial"/>
        </w:rPr>
        <w:t>gözden g</w:t>
      </w:r>
      <w:r w:rsidR="00D454B1" w:rsidRPr="00855495">
        <w:rPr>
          <w:rFonts w:ascii="Arial" w:hAnsi="Arial" w:cs="Arial"/>
        </w:rPr>
        <w:t>eçirmekte</w:t>
      </w:r>
      <w:r w:rsidR="00827F06" w:rsidRPr="00855495">
        <w:rPr>
          <w:rFonts w:ascii="Arial" w:hAnsi="Arial" w:cs="Arial"/>
        </w:rPr>
        <w:t xml:space="preserve"> ve YGG toplantısında değerlendirmektedir. </w:t>
      </w:r>
      <w:r w:rsidR="00D454B1" w:rsidRPr="00855495">
        <w:rPr>
          <w:rFonts w:ascii="Arial" w:hAnsi="Arial" w:cs="Arial"/>
        </w:rPr>
        <w:t xml:space="preserve">Bunlar; </w:t>
      </w:r>
      <w:r w:rsidR="00755ACD" w:rsidRPr="00855495">
        <w:rPr>
          <w:rFonts w:ascii="Arial" w:hAnsi="Arial" w:cs="Arial"/>
        </w:rPr>
        <w:t>kuruluşun faaliyetlerinden</w:t>
      </w:r>
      <w:r w:rsidR="00D454B1" w:rsidRPr="00855495">
        <w:rPr>
          <w:rFonts w:ascii="Arial" w:hAnsi="Arial" w:cs="Arial"/>
        </w:rPr>
        <w:t xml:space="preserve">, </w:t>
      </w:r>
      <w:r w:rsidR="008C4904" w:rsidRPr="00855495">
        <w:rPr>
          <w:rFonts w:ascii="Arial" w:hAnsi="Arial" w:cs="Arial"/>
        </w:rPr>
        <w:t>ilişkilerinden veya personelinin ilişkilerinden kaynaklanan riskleri içermektedir.</w:t>
      </w:r>
    </w:p>
    <w:p w14:paraId="74749CFB" w14:textId="47D44093" w:rsidR="008C4904" w:rsidRPr="00855495" w:rsidRDefault="008C4904" w:rsidP="00827F06">
      <w:pPr>
        <w:pStyle w:val="ListeParagraf"/>
        <w:numPr>
          <w:ilvl w:val="2"/>
          <w:numId w:val="10"/>
        </w:numPr>
        <w:ind w:left="0" w:firstLine="0"/>
        <w:jc w:val="both"/>
        <w:rPr>
          <w:rFonts w:ascii="Arial" w:hAnsi="Arial" w:cs="Arial"/>
        </w:rPr>
      </w:pPr>
      <w:r w:rsidRPr="00855495">
        <w:rPr>
          <w:rFonts w:ascii="Arial" w:hAnsi="Arial" w:cs="Arial"/>
        </w:rPr>
        <w:t xml:space="preserve">Tarafsızlığa yönelik bir risk belirlendiğinde </w:t>
      </w:r>
      <w:r w:rsidR="00855495" w:rsidRPr="00855495">
        <w:rPr>
          <w:rFonts w:ascii="Arial" w:hAnsi="Arial" w:cs="Arial"/>
        </w:rPr>
        <w:t>Cereyan Mühendislik</w:t>
      </w:r>
      <w:r w:rsidRPr="00855495">
        <w:rPr>
          <w:rFonts w:ascii="Arial" w:hAnsi="Arial" w:cs="Arial"/>
        </w:rPr>
        <w:t xml:space="preserve">, bu riski nasıl ortadan kaldıracağını veya en aza indireceğini </w:t>
      </w:r>
      <w:r w:rsidR="000B0BA8" w:rsidRPr="00855495">
        <w:rPr>
          <w:rFonts w:ascii="Arial" w:hAnsi="Arial" w:cs="Arial"/>
        </w:rPr>
        <w:t>“</w:t>
      </w:r>
      <w:r w:rsidR="004022A1" w:rsidRPr="00855495">
        <w:rPr>
          <w:rFonts w:ascii="Arial" w:hAnsi="Arial" w:cs="Arial"/>
        </w:rPr>
        <w:t xml:space="preserve">Risk </w:t>
      </w:r>
      <w:proofErr w:type="spellStart"/>
      <w:r w:rsidR="004022A1" w:rsidRPr="00855495">
        <w:rPr>
          <w:rFonts w:ascii="Arial" w:hAnsi="Arial" w:cs="Arial"/>
        </w:rPr>
        <w:t>Analizi</w:t>
      </w:r>
      <w:r w:rsidR="000B0BA8" w:rsidRPr="00855495">
        <w:rPr>
          <w:rFonts w:ascii="Arial" w:hAnsi="Arial" w:cs="Arial"/>
        </w:rPr>
        <w:t>”nde</w:t>
      </w:r>
      <w:proofErr w:type="spellEnd"/>
      <w:r w:rsidR="000B0BA8" w:rsidRPr="00855495">
        <w:rPr>
          <w:rFonts w:ascii="Arial" w:hAnsi="Arial" w:cs="Arial"/>
        </w:rPr>
        <w:t xml:space="preserve"> </w:t>
      </w:r>
      <w:r w:rsidRPr="00855495">
        <w:rPr>
          <w:rFonts w:ascii="Arial" w:hAnsi="Arial" w:cs="Arial"/>
        </w:rPr>
        <w:t>tanımlamıştır.</w:t>
      </w:r>
    </w:p>
    <w:p w14:paraId="38B73B3A" w14:textId="29D7E701" w:rsidR="00D454B1" w:rsidRPr="00855495" w:rsidRDefault="00855495" w:rsidP="00827F06">
      <w:pPr>
        <w:pStyle w:val="ListeParagraf"/>
        <w:numPr>
          <w:ilvl w:val="2"/>
          <w:numId w:val="10"/>
        </w:numPr>
        <w:ind w:left="0" w:firstLine="0"/>
        <w:jc w:val="both"/>
        <w:rPr>
          <w:rFonts w:ascii="Arial" w:hAnsi="Arial" w:cs="Arial"/>
        </w:rPr>
      </w:pPr>
      <w:r w:rsidRPr="00855495">
        <w:rPr>
          <w:rFonts w:ascii="Arial" w:hAnsi="Arial" w:cs="Arial"/>
        </w:rPr>
        <w:t xml:space="preserve">Cereyan </w:t>
      </w:r>
      <w:proofErr w:type="spellStart"/>
      <w:r w:rsidRPr="00855495">
        <w:rPr>
          <w:rFonts w:ascii="Arial" w:hAnsi="Arial" w:cs="Arial"/>
        </w:rPr>
        <w:t>Mühendislik</w:t>
      </w:r>
      <w:r w:rsidR="005D1AC7">
        <w:rPr>
          <w:rFonts w:ascii="Arial" w:hAnsi="Arial" w:cs="Arial"/>
        </w:rPr>
        <w:t>’</w:t>
      </w:r>
      <w:r w:rsidRPr="00855495">
        <w:rPr>
          <w:rFonts w:ascii="Arial" w:hAnsi="Arial" w:cs="Arial"/>
        </w:rPr>
        <w:t>in</w:t>
      </w:r>
      <w:proofErr w:type="spellEnd"/>
      <w:r w:rsidRPr="00855495">
        <w:rPr>
          <w:rFonts w:ascii="Arial" w:hAnsi="Arial" w:cs="Arial"/>
        </w:rPr>
        <w:t xml:space="preserve"> </w:t>
      </w:r>
      <w:r w:rsidR="008C4904" w:rsidRPr="00855495">
        <w:rPr>
          <w:rFonts w:ascii="Arial" w:hAnsi="Arial" w:cs="Arial"/>
        </w:rPr>
        <w:t>Üst Yönetimi bağımsızlığını ve tarafsızlığını koruyabilmesi i</w:t>
      </w:r>
      <w:r w:rsidR="00236D9D" w:rsidRPr="00855495">
        <w:rPr>
          <w:rFonts w:ascii="Arial" w:hAnsi="Arial" w:cs="Arial"/>
        </w:rPr>
        <w:t>çin gerekli tedbirleri alacağını “</w:t>
      </w:r>
      <w:r w:rsidR="000B0BA8" w:rsidRPr="00855495">
        <w:rPr>
          <w:rFonts w:ascii="Arial" w:hAnsi="Arial" w:cs="Arial"/>
        </w:rPr>
        <w:t xml:space="preserve">Üst Yönetimin Bağımsızlık, Tarafsızlık </w:t>
      </w:r>
      <w:r w:rsidR="00827F06" w:rsidRPr="00855495">
        <w:rPr>
          <w:rFonts w:ascii="Arial" w:hAnsi="Arial" w:cs="Arial"/>
        </w:rPr>
        <w:t>ve</w:t>
      </w:r>
      <w:r w:rsidR="000B0BA8" w:rsidRPr="00855495">
        <w:rPr>
          <w:rFonts w:ascii="Arial" w:hAnsi="Arial" w:cs="Arial"/>
        </w:rPr>
        <w:t xml:space="preserve"> Gizlilik Taahhüdü</w:t>
      </w:r>
      <w:r w:rsidR="00236D9D" w:rsidRPr="00855495">
        <w:rPr>
          <w:rFonts w:ascii="Arial" w:hAnsi="Arial" w:cs="Arial"/>
        </w:rPr>
        <w:t>” ile taahhüt etmektedir.</w:t>
      </w:r>
    </w:p>
    <w:p w14:paraId="74D1D502" w14:textId="62ABE011" w:rsidR="008C4904" w:rsidRPr="00855495" w:rsidRDefault="00855495" w:rsidP="00827F06">
      <w:pPr>
        <w:pStyle w:val="ListeParagraf"/>
        <w:numPr>
          <w:ilvl w:val="2"/>
          <w:numId w:val="10"/>
        </w:numPr>
        <w:ind w:left="0" w:firstLine="0"/>
        <w:jc w:val="both"/>
        <w:rPr>
          <w:rFonts w:ascii="Arial" w:hAnsi="Arial" w:cs="Arial"/>
        </w:rPr>
      </w:pPr>
      <w:r w:rsidRPr="00855495">
        <w:rPr>
          <w:rFonts w:ascii="Arial" w:hAnsi="Arial" w:cs="Arial"/>
        </w:rPr>
        <w:t xml:space="preserve">Cereyan Mühendislik </w:t>
      </w:r>
      <w:r w:rsidR="00827F06" w:rsidRPr="00855495">
        <w:rPr>
          <w:rFonts w:ascii="Arial" w:hAnsi="Arial" w:cs="Arial"/>
        </w:rPr>
        <w:t>m</w:t>
      </w:r>
      <w:r w:rsidR="008C4904" w:rsidRPr="00855495">
        <w:rPr>
          <w:rFonts w:ascii="Arial" w:hAnsi="Arial" w:cs="Arial"/>
        </w:rPr>
        <w:t xml:space="preserve">uayene </w:t>
      </w:r>
      <w:r w:rsidR="00827F06" w:rsidRPr="00855495">
        <w:rPr>
          <w:rFonts w:ascii="Arial" w:hAnsi="Arial" w:cs="Arial"/>
        </w:rPr>
        <w:t>d</w:t>
      </w:r>
      <w:r w:rsidR="008C4904" w:rsidRPr="00855495">
        <w:rPr>
          <w:rFonts w:ascii="Arial" w:hAnsi="Arial" w:cs="Arial"/>
        </w:rPr>
        <w:t xml:space="preserve">epartmanı, yapmış olduğu muayene işlerinde, ilgili taraflardan bağımsız olarak hareket eder, tarafların yetkili temsilcisi olamaz. </w:t>
      </w:r>
    </w:p>
    <w:p w14:paraId="32E6BB3C" w14:textId="1F42461F" w:rsidR="000952B3" w:rsidRPr="00855495" w:rsidRDefault="00855495" w:rsidP="000952B3">
      <w:pPr>
        <w:rPr>
          <w:rFonts w:ascii="Arial" w:hAnsi="Arial" w:cs="Arial"/>
        </w:rPr>
      </w:pPr>
      <w:r w:rsidRPr="00855495">
        <w:rPr>
          <w:rFonts w:ascii="Arial" w:hAnsi="Arial" w:cs="Arial"/>
        </w:rPr>
        <w:t xml:space="preserve">Cereyan Mühendislik </w:t>
      </w:r>
      <w:r w:rsidR="000952B3" w:rsidRPr="00855495">
        <w:rPr>
          <w:rFonts w:ascii="Arial" w:hAnsi="Arial" w:cs="Arial"/>
        </w:rPr>
        <w:t>TS EN ISO IEC 17020 ’de tarif edildiği şekilde “</w:t>
      </w:r>
      <w:r w:rsidR="00920952">
        <w:rPr>
          <w:rFonts w:ascii="Arial" w:hAnsi="Arial" w:cs="Arial"/>
        </w:rPr>
        <w:t>A</w:t>
      </w:r>
      <w:r w:rsidR="000952B3" w:rsidRPr="00855495">
        <w:rPr>
          <w:rFonts w:ascii="Arial" w:hAnsi="Arial" w:cs="Arial"/>
        </w:rPr>
        <w:t xml:space="preserve"> Tipi Muayene Kuruluşu” olarak görev yapmaktadır. Bu şartlara bağlı olarak, Ek A’daki </w:t>
      </w:r>
      <w:r w:rsidR="00920952">
        <w:rPr>
          <w:rFonts w:ascii="Arial" w:hAnsi="Arial" w:cs="Arial"/>
        </w:rPr>
        <w:t xml:space="preserve">A </w:t>
      </w:r>
      <w:r w:rsidR="000952B3" w:rsidRPr="00855495">
        <w:rPr>
          <w:rFonts w:ascii="Arial" w:hAnsi="Arial" w:cs="Arial"/>
        </w:rPr>
        <w:t xml:space="preserve">Tipi muayene </w:t>
      </w:r>
      <w:proofErr w:type="gramStart"/>
      <w:r w:rsidR="000952B3" w:rsidRPr="00855495">
        <w:rPr>
          <w:rFonts w:ascii="Arial" w:hAnsi="Arial" w:cs="Arial"/>
        </w:rPr>
        <w:t>kuruluşu -</w:t>
      </w:r>
      <w:proofErr w:type="gramEnd"/>
      <w:r w:rsidR="000952B3" w:rsidRPr="00855495">
        <w:rPr>
          <w:rFonts w:ascii="Arial" w:hAnsi="Arial" w:cs="Arial"/>
        </w:rPr>
        <w:t xml:space="preserve"> öngörülen kriterleri karşılamaktadır.</w:t>
      </w:r>
    </w:p>
    <w:p w14:paraId="64EBAECB" w14:textId="77777777" w:rsidR="00855495" w:rsidRPr="00855495" w:rsidRDefault="00855495" w:rsidP="00855495">
      <w:pPr>
        <w:jc w:val="both"/>
        <w:rPr>
          <w:rFonts w:ascii="Arial" w:hAnsi="Arial" w:cs="Arial"/>
        </w:rPr>
      </w:pPr>
      <w:r w:rsidRPr="00855495">
        <w:rPr>
          <w:rFonts w:ascii="Arial" w:hAnsi="Arial" w:cs="Arial"/>
        </w:rPr>
        <w:lastRenderedPageBreak/>
        <w:t>Ek A- Tip A muayene kuruluşu için bağımsızlık kriterleri aşağıda belirtilmiştir:</w:t>
      </w:r>
    </w:p>
    <w:p w14:paraId="409D821B" w14:textId="77777777" w:rsidR="00855495" w:rsidRPr="00855495" w:rsidRDefault="00855495" w:rsidP="00855495">
      <w:pPr>
        <w:jc w:val="both"/>
        <w:rPr>
          <w:rFonts w:ascii="Arial" w:hAnsi="Arial" w:cs="Arial"/>
          <w:b/>
        </w:rPr>
      </w:pPr>
      <w:r w:rsidRPr="00855495">
        <w:rPr>
          <w:rFonts w:ascii="Arial" w:hAnsi="Arial" w:cs="Arial"/>
          <w:b/>
        </w:rPr>
        <w:t>A.1 Muayene kuruluşları için şartlar (A Tipi)</w:t>
      </w:r>
    </w:p>
    <w:p w14:paraId="75950FE9" w14:textId="70C76C8D" w:rsidR="00855495" w:rsidRPr="00855495" w:rsidRDefault="00855495" w:rsidP="00855495">
      <w:pPr>
        <w:jc w:val="both"/>
        <w:rPr>
          <w:rFonts w:ascii="Arial" w:hAnsi="Arial" w:cs="Arial"/>
        </w:rPr>
      </w:pPr>
      <w:r w:rsidRPr="00855495">
        <w:rPr>
          <w:rFonts w:ascii="Arial" w:hAnsi="Arial" w:cs="Arial"/>
          <w:b/>
        </w:rPr>
        <w:t>a)</w:t>
      </w:r>
      <w:r w:rsidRPr="00855495">
        <w:rPr>
          <w:rFonts w:ascii="Arial" w:hAnsi="Arial" w:cs="Arial"/>
        </w:rPr>
        <w:t xml:space="preserve"> </w:t>
      </w:r>
      <w:r>
        <w:rPr>
          <w:rFonts w:ascii="Arial" w:hAnsi="Arial" w:cs="Arial"/>
        </w:rPr>
        <w:t>Cereyan Mühendislik</w:t>
      </w:r>
      <w:r w:rsidRPr="00855495">
        <w:rPr>
          <w:rFonts w:ascii="Arial" w:hAnsi="Arial" w:cs="Arial"/>
        </w:rPr>
        <w:t>, konuya taraf olan kesimlerden bağımsızdır.</w:t>
      </w:r>
    </w:p>
    <w:p w14:paraId="72905022" w14:textId="636B2853" w:rsidR="00855495" w:rsidRPr="00855495" w:rsidRDefault="00855495" w:rsidP="00855495">
      <w:pPr>
        <w:jc w:val="both"/>
        <w:rPr>
          <w:rFonts w:ascii="Arial" w:hAnsi="Arial" w:cs="Arial"/>
        </w:rPr>
      </w:pPr>
      <w:r w:rsidRPr="00855495">
        <w:rPr>
          <w:rFonts w:ascii="Arial" w:hAnsi="Arial" w:cs="Arial"/>
          <w:b/>
        </w:rPr>
        <w:t>b)</w:t>
      </w:r>
      <w:r w:rsidRPr="00855495">
        <w:rPr>
          <w:rFonts w:ascii="Arial" w:hAnsi="Arial" w:cs="Arial"/>
        </w:rPr>
        <w:t xml:space="preserve"> </w:t>
      </w:r>
      <w:r>
        <w:rPr>
          <w:rFonts w:ascii="Arial" w:hAnsi="Arial" w:cs="Arial"/>
        </w:rPr>
        <w:t>Cereyan Mühendislik</w:t>
      </w:r>
      <w:r w:rsidRPr="00855495">
        <w:rPr>
          <w:rFonts w:ascii="Arial" w:hAnsi="Arial" w:cs="Arial"/>
        </w:rPr>
        <w:t xml:space="preserve"> ve personeli, yürüttükleri muayene faaliyetlerine ilişkin hüküm verme bağımsızlıkları ve doğruluklarıyla çatışmaya neden olabilecek hiçbir faaliyetin içerisinde yer almamaktadır. Özellikle; muayene ettiği öğeleri tasarlayan, üreten, tedarik eden, kurulumunu yapan, satın alan, sahibi, kullanıcısı veya bakımını yapan durumunda değildir.</w:t>
      </w:r>
    </w:p>
    <w:p w14:paraId="255F172C" w14:textId="77777777" w:rsidR="00855495" w:rsidRPr="00855495" w:rsidRDefault="00855495" w:rsidP="00855495">
      <w:pPr>
        <w:jc w:val="both"/>
        <w:rPr>
          <w:rFonts w:ascii="Arial" w:hAnsi="Arial" w:cs="Arial"/>
        </w:rPr>
      </w:pPr>
      <w:r w:rsidRPr="00855495">
        <w:rPr>
          <w:rFonts w:ascii="Arial" w:hAnsi="Arial" w:cs="Arial"/>
          <w:b/>
        </w:rPr>
        <w:t xml:space="preserve">Not </w:t>
      </w:r>
      <w:proofErr w:type="gramStart"/>
      <w:r w:rsidRPr="00855495">
        <w:rPr>
          <w:rFonts w:ascii="Arial" w:hAnsi="Arial" w:cs="Arial"/>
          <w:b/>
        </w:rPr>
        <w:t>1</w:t>
      </w:r>
      <w:r w:rsidRPr="00855495">
        <w:rPr>
          <w:rFonts w:ascii="Arial" w:hAnsi="Arial" w:cs="Arial"/>
        </w:rPr>
        <w:t xml:space="preserve"> -</w:t>
      </w:r>
      <w:proofErr w:type="gramEnd"/>
      <w:r w:rsidRPr="00855495">
        <w:rPr>
          <w:rFonts w:ascii="Arial" w:hAnsi="Arial" w:cs="Arial"/>
        </w:rPr>
        <w:tab/>
        <w:t xml:space="preserve"> Bu durum müşteri ile muayene kuruluşu arasındaki teknik bilgi alışverişine engel değildir.(örneğin, bulguların izahı veya şartlara açıklık getirilmesi veya eğitim). </w:t>
      </w:r>
    </w:p>
    <w:p w14:paraId="4C08BF56" w14:textId="77777777" w:rsidR="00855495" w:rsidRPr="00855495" w:rsidRDefault="00855495" w:rsidP="00855495">
      <w:pPr>
        <w:jc w:val="both"/>
        <w:rPr>
          <w:rFonts w:ascii="Arial" w:hAnsi="Arial" w:cs="Arial"/>
        </w:rPr>
      </w:pPr>
      <w:r w:rsidRPr="00855495">
        <w:rPr>
          <w:rFonts w:ascii="Arial" w:hAnsi="Arial" w:cs="Arial"/>
          <w:b/>
        </w:rPr>
        <w:t xml:space="preserve">Not </w:t>
      </w:r>
      <w:proofErr w:type="gramStart"/>
      <w:r w:rsidRPr="00855495">
        <w:rPr>
          <w:rFonts w:ascii="Arial" w:hAnsi="Arial" w:cs="Arial"/>
          <w:b/>
        </w:rPr>
        <w:t>2</w:t>
      </w:r>
      <w:r w:rsidRPr="00855495">
        <w:rPr>
          <w:rFonts w:ascii="Arial" w:hAnsi="Arial" w:cs="Arial"/>
        </w:rPr>
        <w:t xml:space="preserve"> -</w:t>
      </w:r>
      <w:proofErr w:type="gramEnd"/>
      <w:r w:rsidRPr="00855495">
        <w:rPr>
          <w:rFonts w:ascii="Arial" w:hAnsi="Arial" w:cs="Arial"/>
        </w:rPr>
        <w:tab/>
        <w:t xml:space="preserve"> Bu durum, muayene kuruluşunun faaliyetleri için gerekli olan muayene öğelerinin satın alınmasına, bunlara sahip olunmasına veya kullanımına veya bunların muayene kuruluşunun personeli tarafından kişisel amaçlı olarak satın alınmasına, sahip olunmasına veya kullanımına engel değildir.</w:t>
      </w:r>
    </w:p>
    <w:p w14:paraId="06A1239B" w14:textId="3AD10D31" w:rsidR="00855495" w:rsidRPr="00855495" w:rsidRDefault="00855495" w:rsidP="00855495">
      <w:pPr>
        <w:jc w:val="both"/>
        <w:rPr>
          <w:rFonts w:ascii="Arial" w:hAnsi="Arial" w:cs="Arial"/>
        </w:rPr>
      </w:pPr>
      <w:r w:rsidRPr="00855495">
        <w:rPr>
          <w:rFonts w:ascii="Arial" w:hAnsi="Arial" w:cs="Arial"/>
          <w:b/>
        </w:rPr>
        <w:t>c)</w:t>
      </w:r>
      <w:r w:rsidRPr="00855495">
        <w:rPr>
          <w:rFonts w:ascii="Arial" w:hAnsi="Arial" w:cs="Arial"/>
        </w:rPr>
        <w:t xml:space="preserve"> </w:t>
      </w:r>
      <w:r>
        <w:rPr>
          <w:rFonts w:ascii="Arial" w:hAnsi="Arial" w:cs="Arial"/>
        </w:rPr>
        <w:t>Cereyan Mühendislik</w:t>
      </w:r>
      <w:r w:rsidRPr="00855495">
        <w:rPr>
          <w:rFonts w:ascii="Arial" w:hAnsi="Arial" w:cs="Arial"/>
        </w:rPr>
        <w:t xml:space="preserve"> muayene ettiği öğeleri tasarlayan, üreten, tedarik eden, kurulumunu yapan, satın alan, sahibi, kullanıcısı veya bakımını yapan durumundaki bir tüzel kişiliğin bir parçası değildir ve bu işlemlerle doğrudan ya da dolaylı olarak ilgili değildir.</w:t>
      </w:r>
    </w:p>
    <w:p w14:paraId="6EDFB138" w14:textId="77777777" w:rsidR="00855495" w:rsidRPr="00855495" w:rsidRDefault="00855495" w:rsidP="00855495">
      <w:pPr>
        <w:jc w:val="both"/>
        <w:rPr>
          <w:rFonts w:ascii="Arial" w:hAnsi="Arial" w:cs="Arial"/>
        </w:rPr>
      </w:pPr>
      <w:r w:rsidRPr="00855495">
        <w:rPr>
          <w:rFonts w:ascii="Arial" w:hAnsi="Arial" w:cs="Arial"/>
          <w:b/>
        </w:rPr>
        <w:t xml:space="preserve">Not </w:t>
      </w:r>
      <w:proofErr w:type="gramStart"/>
      <w:r w:rsidRPr="00855495">
        <w:rPr>
          <w:rFonts w:ascii="Arial" w:hAnsi="Arial" w:cs="Arial"/>
          <w:b/>
        </w:rPr>
        <w:t>1</w:t>
      </w:r>
      <w:r w:rsidRPr="00855495">
        <w:rPr>
          <w:rFonts w:ascii="Arial" w:hAnsi="Arial" w:cs="Arial"/>
        </w:rPr>
        <w:t xml:space="preserve"> -</w:t>
      </w:r>
      <w:proofErr w:type="gramEnd"/>
      <w:r w:rsidRPr="00855495">
        <w:rPr>
          <w:rFonts w:ascii="Arial" w:hAnsi="Arial" w:cs="Arial"/>
        </w:rPr>
        <w:tab/>
        <w:t>Bu durum, müşteri ile muayene kuruluşunun bir parçasını oluşturduğu aynı tüzel kişilik içerisindeki diğer herhangi bir parça arasındaki teknik bilgi alışverişine engel değildir. (</w:t>
      </w:r>
      <w:proofErr w:type="gramStart"/>
      <w:r w:rsidRPr="00855495">
        <w:rPr>
          <w:rFonts w:ascii="Arial" w:hAnsi="Arial" w:cs="Arial"/>
        </w:rPr>
        <w:t>örneğin</w:t>
      </w:r>
      <w:proofErr w:type="gramEnd"/>
      <w:r w:rsidRPr="00855495">
        <w:rPr>
          <w:rFonts w:ascii="Arial" w:hAnsi="Arial" w:cs="Arial"/>
        </w:rPr>
        <w:t>, bulguların izahı veya şartlara açıklık getirilmesi veya eğitim)</w:t>
      </w:r>
    </w:p>
    <w:p w14:paraId="169EAF3A" w14:textId="77777777" w:rsidR="00855495" w:rsidRPr="00855495" w:rsidRDefault="00855495" w:rsidP="00855495">
      <w:pPr>
        <w:jc w:val="both"/>
        <w:rPr>
          <w:rFonts w:ascii="Arial" w:hAnsi="Arial" w:cs="Arial"/>
        </w:rPr>
      </w:pPr>
      <w:r w:rsidRPr="00855495">
        <w:rPr>
          <w:rFonts w:ascii="Arial" w:hAnsi="Arial" w:cs="Arial"/>
          <w:b/>
        </w:rPr>
        <w:t xml:space="preserve">Not </w:t>
      </w:r>
      <w:proofErr w:type="gramStart"/>
      <w:r w:rsidRPr="00855495">
        <w:rPr>
          <w:rFonts w:ascii="Arial" w:hAnsi="Arial" w:cs="Arial"/>
          <w:b/>
        </w:rPr>
        <w:t>2</w:t>
      </w:r>
      <w:r w:rsidRPr="00855495">
        <w:rPr>
          <w:rFonts w:ascii="Arial" w:hAnsi="Arial" w:cs="Arial"/>
        </w:rPr>
        <w:t xml:space="preserve"> -</w:t>
      </w:r>
      <w:proofErr w:type="gramEnd"/>
      <w:r w:rsidRPr="00855495">
        <w:rPr>
          <w:rFonts w:ascii="Arial" w:hAnsi="Arial" w:cs="Arial"/>
        </w:rPr>
        <w:tab/>
        <w:t>Bu durum, aynı tüzel kişilik içerisindeki diğer herhangi bir parçanın faaliyetleri için veya personelin kişisel amaçları için gerekli olan muayene öğelerinin satın alınmasına, bunlara sahip olunmasına, bakımının yapılmasına veya kullanımına engel değildir.</w:t>
      </w:r>
    </w:p>
    <w:p w14:paraId="60B4FD8A" w14:textId="28358A7C" w:rsidR="00855495" w:rsidRPr="00855495" w:rsidRDefault="00855495" w:rsidP="00855495">
      <w:pPr>
        <w:jc w:val="both"/>
        <w:rPr>
          <w:rFonts w:ascii="Arial" w:hAnsi="Arial" w:cs="Arial"/>
        </w:rPr>
      </w:pPr>
      <w:r w:rsidRPr="00855495">
        <w:rPr>
          <w:rFonts w:ascii="Arial" w:hAnsi="Arial" w:cs="Arial"/>
          <w:b/>
        </w:rPr>
        <w:t>d)</w:t>
      </w:r>
      <w:r w:rsidRPr="00855495">
        <w:rPr>
          <w:rFonts w:ascii="Arial" w:hAnsi="Arial" w:cs="Arial"/>
        </w:rPr>
        <w:t xml:space="preserve"> </w:t>
      </w:r>
      <w:r>
        <w:rPr>
          <w:rFonts w:ascii="Arial" w:hAnsi="Arial" w:cs="Arial"/>
        </w:rPr>
        <w:t>Cereyan Mühendislik</w:t>
      </w:r>
      <w:r w:rsidRPr="00855495">
        <w:rPr>
          <w:rFonts w:ascii="Arial" w:hAnsi="Arial" w:cs="Arial"/>
        </w:rPr>
        <w:t>; muayene ettiği öğeleri tasarlayan, üreten, tedarik eden, kurulumunu yapan, satın alan, sahibi, kullanıcısı veya bakımını yapan durumundaki ayrı bir tüzel kişilikle, aşağıda tanımlanan yönlerden bağlantılı değildir:</w:t>
      </w:r>
    </w:p>
    <w:p w14:paraId="1A6F7D30" w14:textId="77777777" w:rsidR="00855495" w:rsidRPr="00855495" w:rsidRDefault="00855495" w:rsidP="00855495">
      <w:pPr>
        <w:pStyle w:val="ListeParagraf"/>
        <w:numPr>
          <w:ilvl w:val="0"/>
          <w:numId w:val="18"/>
        </w:numPr>
        <w:tabs>
          <w:tab w:val="left" w:pos="284"/>
        </w:tabs>
        <w:spacing w:after="0"/>
        <w:ind w:left="0" w:firstLine="0"/>
        <w:jc w:val="both"/>
        <w:rPr>
          <w:rFonts w:ascii="Arial" w:hAnsi="Arial" w:cs="Arial"/>
        </w:rPr>
      </w:pPr>
      <w:r w:rsidRPr="00855495">
        <w:rPr>
          <w:rFonts w:ascii="Arial" w:hAnsi="Arial" w:cs="Arial"/>
        </w:rPr>
        <w:t>Sahiplerin, muayene sonuçlarını etkileyebilme güçlerinin olmaması durumu hariç, söz konusu ayrı tüzel kişilikte de sahiplik durumu,</w:t>
      </w:r>
    </w:p>
    <w:p w14:paraId="42225D0D" w14:textId="77777777" w:rsidR="00855495" w:rsidRPr="00855495" w:rsidRDefault="00855495" w:rsidP="00855495">
      <w:pPr>
        <w:pStyle w:val="ListeParagraf"/>
        <w:numPr>
          <w:ilvl w:val="0"/>
          <w:numId w:val="18"/>
        </w:numPr>
        <w:tabs>
          <w:tab w:val="left" w:pos="284"/>
        </w:tabs>
        <w:spacing w:after="0"/>
        <w:ind w:left="0" w:firstLine="0"/>
        <w:jc w:val="both"/>
        <w:rPr>
          <w:rFonts w:ascii="Arial" w:hAnsi="Arial" w:cs="Arial"/>
        </w:rPr>
      </w:pPr>
      <w:r w:rsidRPr="00855495">
        <w:rPr>
          <w:rFonts w:ascii="Arial" w:hAnsi="Arial" w:cs="Arial"/>
        </w:rPr>
        <w:t>Muayene sonuçlarını etkileyebilecek bir fonksiyonları olmamaları durumu hariç, yönetim kurullarında veya eşdeğerlerinde, muayene kuruluşunda da sahipliği olanların temsilcilerinin bulunması durumu,</w:t>
      </w:r>
    </w:p>
    <w:p w14:paraId="3B58818E" w14:textId="2D9ADCD4" w:rsidR="00855495" w:rsidRPr="00855495" w:rsidRDefault="00855495" w:rsidP="00855495">
      <w:pPr>
        <w:pStyle w:val="ListeParagraf"/>
        <w:numPr>
          <w:ilvl w:val="0"/>
          <w:numId w:val="18"/>
        </w:numPr>
        <w:tabs>
          <w:tab w:val="left" w:pos="284"/>
        </w:tabs>
        <w:spacing w:after="0"/>
        <w:ind w:left="0" w:firstLine="0"/>
        <w:jc w:val="both"/>
        <w:rPr>
          <w:rFonts w:ascii="Arial" w:hAnsi="Arial" w:cs="Arial"/>
        </w:rPr>
      </w:pPr>
      <w:r>
        <w:rPr>
          <w:rFonts w:ascii="Arial" w:hAnsi="Arial" w:cs="Arial"/>
        </w:rPr>
        <w:t xml:space="preserve">Cereyan </w:t>
      </w:r>
      <w:proofErr w:type="spellStart"/>
      <w:r>
        <w:rPr>
          <w:rFonts w:ascii="Arial" w:hAnsi="Arial" w:cs="Arial"/>
        </w:rPr>
        <w:t>Mühendislik</w:t>
      </w:r>
      <w:r w:rsidR="005D1AC7">
        <w:rPr>
          <w:rFonts w:ascii="Arial" w:hAnsi="Arial" w:cs="Arial"/>
        </w:rPr>
        <w:t>’</w:t>
      </w:r>
      <w:r>
        <w:rPr>
          <w:rFonts w:ascii="Arial" w:hAnsi="Arial" w:cs="Arial"/>
        </w:rPr>
        <w:t>i</w:t>
      </w:r>
      <w:r w:rsidRPr="00855495">
        <w:rPr>
          <w:rFonts w:ascii="Arial" w:hAnsi="Arial" w:cs="Arial"/>
        </w:rPr>
        <w:t>n</w:t>
      </w:r>
      <w:proofErr w:type="spellEnd"/>
      <w:r w:rsidRPr="00855495">
        <w:rPr>
          <w:rFonts w:ascii="Arial" w:hAnsi="Arial" w:cs="Arial"/>
        </w:rPr>
        <w:t xml:space="preserve"> ve söz konusu ayrı tüzel kişiliğin, bunun muayene sonuçlarını etkilemeyecek durumda olması hariç, aynı daha üst yönetim kademesine doğrudan bağlı olması durumu.</w:t>
      </w:r>
    </w:p>
    <w:p w14:paraId="4D6F0984" w14:textId="2967D2EE" w:rsidR="00A53C44" w:rsidRDefault="00855495" w:rsidP="00855495">
      <w:pPr>
        <w:pStyle w:val="ListeParagraf"/>
        <w:numPr>
          <w:ilvl w:val="0"/>
          <w:numId w:val="18"/>
        </w:numPr>
        <w:tabs>
          <w:tab w:val="left" w:pos="284"/>
        </w:tabs>
        <w:spacing w:after="0"/>
        <w:ind w:left="0" w:firstLine="0"/>
        <w:jc w:val="both"/>
        <w:rPr>
          <w:rFonts w:ascii="Arial" w:hAnsi="Arial" w:cs="Arial"/>
        </w:rPr>
      </w:pPr>
      <w:r>
        <w:rPr>
          <w:rFonts w:ascii="Arial" w:hAnsi="Arial" w:cs="Arial"/>
        </w:rPr>
        <w:t>Cereyan Mühendislik</w:t>
      </w:r>
      <w:r w:rsidRPr="00855495">
        <w:rPr>
          <w:rFonts w:ascii="Arial" w:hAnsi="Arial" w:cs="Arial"/>
        </w:rPr>
        <w:t xml:space="preserve"> ile söz konusu ayrı tüzel kişilik arasındaki muayene sonuçlarını etkileyebilecek sözleşmeye bağlanmış taahhütler veya diğer hususlar.  </w:t>
      </w:r>
    </w:p>
    <w:p w14:paraId="0F13B08F" w14:textId="016904FE" w:rsidR="00855495" w:rsidRPr="00A53C44" w:rsidRDefault="00A53C44" w:rsidP="00A53C44">
      <w:pPr>
        <w:tabs>
          <w:tab w:val="left" w:pos="2120"/>
        </w:tabs>
      </w:pPr>
      <w:r>
        <w:tab/>
      </w:r>
    </w:p>
    <w:p w14:paraId="37CCDA21" w14:textId="32551952" w:rsidR="00855495" w:rsidRPr="00855495" w:rsidRDefault="00855495" w:rsidP="00855495">
      <w:pPr>
        <w:pStyle w:val="ListeParagraf"/>
        <w:numPr>
          <w:ilvl w:val="0"/>
          <w:numId w:val="18"/>
        </w:numPr>
        <w:tabs>
          <w:tab w:val="left" w:pos="284"/>
        </w:tabs>
        <w:spacing w:after="0"/>
        <w:ind w:left="0" w:firstLine="0"/>
        <w:jc w:val="both"/>
        <w:rPr>
          <w:rFonts w:ascii="Arial" w:hAnsi="Arial" w:cs="Arial"/>
        </w:rPr>
      </w:pPr>
      <w:r w:rsidRPr="00855495">
        <w:rPr>
          <w:rFonts w:ascii="Arial" w:hAnsi="Arial" w:cs="Arial"/>
        </w:rPr>
        <w:lastRenderedPageBreak/>
        <w:t xml:space="preserve">Bütün ilgili taraflar, </w:t>
      </w:r>
      <w:r>
        <w:rPr>
          <w:rFonts w:ascii="Arial" w:hAnsi="Arial" w:cs="Arial"/>
        </w:rPr>
        <w:t xml:space="preserve">Cereyan </w:t>
      </w:r>
      <w:proofErr w:type="spellStart"/>
      <w:r>
        <w:rPr>
          <w:rFonts w:ascii="Arial" w:hAnsi="Arial" w:cs="Arial"/>
        </w:rPr>
        <w:t>Mühendislik</w:t>
      </w:r>
      <w:r w:rsidR="005D1AC7">
        <w:rPr>
          <w:rFonts w:ascii="Arial" w:hAnsi="Arial" w:cs="Arial"/>
        </w:rPr>
        <w:t>’</w:t>
      </w:r>
      <w:r>
        <w:rPr>
          <w:rFonts w:ascii="Arial" w:hAnsi="Arial" w:cs="Arial"/>
        </w:rPr>
        <w:t>i</w:t>
      </w:r>
      <w:r w:rsidRPr="00855495">
        <w:rPr>
          <w:rFonts w:ascii="Arial" w:hAnsi="Arial" w:cs="Arial"/>
        </w:rPr>
        <w:t>n</w:t>
      </w:r>
      <w:proofErr w:type="spellEnd"/>
      <w:r w:rsidRPr="00855495">
        <w:rPr>
          <w:rFonts w:ascii="Arial" w:hAnsi="Arial" w:cs="Arial"/>
        </w:rPr>
        <w:t xml:space="preserve"> hizmetlerine erişebilmektedir. </w:t>
      </w:r>
      <w:r>
        <w:rPr>
          <w:rFonts w:ascii="Arial" w:hAnsi="Arial" w:cs="Arial"/>
        </w:rPr>
        <w:t>Cereyan Mühendislik</w:t>
      </w:r>
      <w:r w:rsidRPr="00855495">
        <w:rPr>
          <w:rFonts w:ascii="Arial" w:hAnsi="Arial" w:cs="Arial"/>
        </w:rPr>
        <w:t xml:space="preserve"> da çalışma prosedürleri ayrım yapmayan bir şekilde uygulanmaktadır.</w:t>
      </w:r>
    </w:p>
    <w:p w14:paraId="48D90146" w14:textId="77777777" w:rsidR="00855495" w:rsidRPr="00855495" w:rsidRDefault="00855495" w:rsidP="00855495">
      <w:pPr>
        <w:pStyle w:val="ListeParagraf"/>
        <w:tabs>
          <w:tab w:val="left" w:pos="284"/>
        </w:tabs>
        <w:spacing w:after="0"/>
        <w:ind w:left="0"/>
        <w:jc w:val="both"/>
        <w:rPr>
          <w:rFonts w:ascii="Arial" w:hAnsi="Arial" w:cs="Arial"/>
        </w:rPr>
      </w:pPr>
    </w:p>
    <w:p w14:paraId="47821EF3" w14:textId="77777777" w:rsidR="00615CB4" w:rsidRPr="00855495" w:rsidRDefault="00615CB4" w:rsidP="00827F06">
      <w:pPr>
        <w:pStyle w:val="ListeParagraf"/>
        <w:numPr>
          <w:ilvl w:val="1"/>
          <w:numId w:val="10"/>
        </w:numPr>
        <w:spacing w:after="0"/>
        <w:jc w:val="both"/>
        <w:rPr>
          <w:rFonts w:ascii="Arial" w:eastAsia="Times New Roman" w:hAnsi="Arial" w:cs="Arial"/>
          <w:b/>
        </w:rPr>
      </w:pPr>
      <w:r w:rsidRPr="00855495">
        <w:rPr>
          <w:rFonts w:ascii="Arial" w:eastAsia="Times New Roman" w:hAnsi="Arial" w:cs="Arial"/>
          <w:b/>
        </w:rPr>
        <w:t xml:space="preserve">Gizlilik </w:t>
      </w:r>
    </w:p>
    <w:p w14:paraId="65EA344E" w14:textId="62EFD575" w:rsidR="00317D14" w:rsidRPr="00855495" w:rsidRDefault="0007597C" w:rsidP="00827F06">
      <w:pPr>
        <w:pStyle w:val="ListeParagraf"/>
        <w:numPr>
          <w:ilvl w:val="2"/>
          <w:numId w:val="10"/>
        </w:numPr>
        <w:tabs>
          <w:tab w:val="left" w:pos="567"/>
        </w:tabs>
        <w:spacing w:after="0"/>
        <w:ind w:left="0" w:firstLine="0"/>
        <w:jc w:val="both"/>
        <w:rPr>
          <w:rFonts w:ascii="Arial" w:eastAsia="Times New Roman" w:hAnsi="Arial" w:cs="Arial"/>
        </w:rPr>
      </w:pPr>
      <w:r w:rsidRPr="00855495">
        <w:rPr>
          <w:rFonts w:ascii="Arial" w:eastAsia="Times New Roman" w:hAnsi="Arial" w:cs="Arial"/>
        </w:rPr>
        <w:t xml:space="preserve">  </w:t>
      </w:r>
      <w:r w:rsidR="00FF08FC" w:rsidRPr="00855495">
        <w:rPr>
          <w:rFonts w:ascii="Arial" w:eastAsia="Times New Roman" w:hAnsi="Arial" w:cs="Arial"/>
        </w:rPr>
        <w:t>TS EN ISO/IEC 17020 standardına göre gerçekleştirilen muayene faaliyetlerinin tüm aşamalarında</w:t>
      </w:r>
      <w:r w:rsidR="00317D14" w:rsidRPr="00855495">
        <w:rPr>
          <w:rFonts w:ascii="Arial" w:eastAsia="Times New Roman" w:hAnsi="Arial" w:cs="Arial"/>
        </w:rPr>
        <w:t xml:space="preserve"> edinilen bilgilerin gizliliğinin sağlanması amacıyla </w:t>
      </w:r>
      <w:r w:rsidR="00855495" w:rsidRPr="00855495">
        <w:rPr>
          <w:rFonts w:ascii="Arial" w:eastAsia="Times New Roman" w:hAnsi="Arial" w:cs="Arial"/>
        </w:rPr>
        <w:t xml:space="preserve">Cereyan Mühendislik </w:t>
      </w:r>
      <w:r w:rsidR="00317D14" w:rsidRPr="00855495">
        <w:rPr>
          <w:rFonts w:ascii="Arial" w:eastAsia="Times New Roman" w:hAnsi="Arial" w:cs="Arial"/>
        </w:rPr>
        <w:t xml:space="preserve">adına görev alan tüm personelin “Personel Bağımsızlık, Tarafsızlık </w:t>
      </w:r>
      <w:r w:rsidR="00CA11E0" w:rsidRPr="00855495">
        <w:rPr>
          <w:rFonts w:ascii="Arial" w:eastAsia="Times New Roman" w:hAnsi="Arial" w:cs="Arial"/>
        </w:rPr>
        <w:t>v</w:t>
      </w:r>
      <w:r w:rsidR="00317D14" w:rsidRPr="00855495">
        <w:rPr>
          <w:rFonts w:ascii="Arial" w:eastAsia="Times New Roman" w:hAnsi="Arial" w:cs="Arial"/>
        </w:rPr>
        <w:t xml:space="preserve">e Gizlilik Taahhüdü” </w:t>
      </w:r>
      <w:r w:rsidR="00755ACD" w:rsidRPr="00855495">
        <w:rPr>
          <w:rFonts w:ascii="Arial" w:eastAsia="Times New Roman" w:hAnsi="Arial" w:cs="Arial"/>
        </w:rPr>
        <w:t>ile taahhüttü</w:t>
      </w:r>
      <w:r w:rsidR="00317D14" w:rsidRPr="00855495">
        <w:rPr>
          <w:rFonts w:ascii="Arial" w:eastAsia="Times New Roman" w:hAnsi="Arial" w:cs="Arial"/>
        </w:rPr>
        <w:t xml:space="preserve"> alınır.</w:t>
      </w:r>
      <w:r w:rsidRPr="00855495">
        <w:rPr>
          <w:rFonts w:ascii="Arial" w:eastAsia="Times New Roman" w:hAnsi="Arial" w:cs="Arial"/>
        </w:rPr>
        <w:t xml:space="preserve"> Ayrıca güvenli arşiv ortamları ile kuruluşlara ait kayıtlara sorumlu olmayan kişilerin erişimi engellenmektedir.</w:t>
      </w:r>
    </w:p>
    <w:p w14:paraId="64E580FB" w14:textId="0199C879" w:rsidR="00615CB4" w:rsidRPr="00855495" w:rsidRDefault="00855495" w:rsidP="00827F06">
      <w:pPr>
        <w:pStyle w:val="ListeParagraf"/>
        <w:numPr>
          <w:ilvl w:val="2"/>
          <w:numId w:val="10"/>
        </w:numPr>
        <w:tabs>
          <w:tab w:val="left" w:pos="567"/>
        </w:tabs>
        <w:spacing w:after="0"/>
        <w:ind w:left="0" w:hanging="11"/>
        <w:jc w:val="both"/>
        <w:rPr>
          <w:rFonts w:ascii="Arial" w:eastAsia="Times New Roman" w:hAnsi="Arial" w:cs="Arial"/>
          <w:b/>
        </w:rPr>
      </w:pPr>
      <w:r w:rsidRPr="00855495">
        <w:rPr>
          <w:rFonts w:ascii="Arial" w:hAnsi="Arial" w:cs="Arial"/>
        </w:rPr>
        <w:t xml:space="preserve">  Cereyan Mühendislik, </w:t>
      </w:r>
      <w:r w:rsidR="00615CB4" w:rsidRPr="00855495">
        <w:rPr>
          <w:rFonts w:ascii="Arial" w:hAnsi="Arial" w:cs="Arial"/>
        </w:rPr>
        <w:t>kamuya açık ortamlarda yayınlamayı öngördüğü bilgilerle ilgili olarak müş</w:t>
      </w:r>
      <w:r w:rsidR="00702A92" w:rsidRPr="00855495">
        <w:rPr>
          <w:rFonts w:ascii="Arial" w:hAnsi="Arial" w:cs="Arial"/>
        </w:rPr>
        <w:t>teriyi önceden bilgilendirmektedir.</w:t>
      </w:r>
      <w:r w:rsidR="00615CB4" w:rsidRPr="00855495">
        <w:rPr>
          <w:rFonts w:ascii="Arial" w:hAnsi="Arial" w:cs="Arial"/>
        </w:rPr>
        <w:t xml:space="preserve"> Müşterinin kamuya açık hale getirdiği veya muayene kuruluşu ile müşterinin aralarında anlaşmaya vardığı (örneğin, şikâyetlere cevap verilmesi amaçlı) bilgiler hariç diğer tüm bilgiler sahibine özel bilgiler olarak dikkate almakta ve gizli kabul etmektedir.</w:t>
      </w:r>
    </w:p>
    <w:p w14:paraId="5392058F" w14:textId="0AD382D2" w:rsidR="00615CB4" w:rsidRPr="00855495" w:rsidRDefault="0007597C" w:rsidP="00827F06">
      <w:pPr>
        <w:pStyle w:val="ListeParagraf"/>
        <w:numPr>
          <w:ilvl w:val="2"/>
          <w:numId w:val="10"/>
        </w:numPr>
        <w:tabs>
          <w:tab w:val="left" w:pos="0"/>
          <w:tab w:val="left" w:pos="284"/>
          <w:tab w:val="left" w:pos="567"/>
        </w:tabs>
        <w:spacing w:after="0"/>
        <w:ind w:left="0" w:firstLine="0"/>
        <w:jc w:val="both"/>
        <w:rPr>
          <w:rFonts w:ascii="Arial" w:eastAsia="Times New Roman" w:hAnsi="Arial" w:cs="Arial"/>
          <w:b/>
        </w:rPr>
      </w:pPr>
      <w:r w:rsidRPr="00855495">
        <w:rPr>
          <w:rFonts w:ascii="Arial" w:hAnsi="Arial" w:cs="Arial"/>
        </w:rPr>
        <w:t xml:space="preserve">  </w:t>
      </w:r>
      <w:r w:rsidR="00855495" w:rsidRPr="00855495">
        <w:rPr>
          <w:rFonts w:ascii="Arial" w:hAnsi="Arial" w:cs="Arial"/>
        </w:rPr>
        <w:t>Cereyan Mühendislik</w:t>
      </w:r>
      <w:r w:rsidR="00615CB4" w:rsidRPr="00855495">
        <w:rPr>
          <w:rFonts w:ascii="Arial" w:hAnsi="Arial" w:cs="Arial"/>
        </w:rPr>
        <w:t>, yasal zorunluluktan dolayı veya sözleşmeye bağlanmış taahhütlerden aldığı yetkiye istinaden gizli bilgileri açıklaması durumunda, yasal bir engel yoksa verilen bilgileri müşteriye veya ilgili kişilere bildirmektedir.</w:t>
      </w:r>
    </w:p>
    <w:p w14:paraId="23EC19C4" w14:textId="77777777" w:rsidR="00D659AD" w:rsidRPr="00855495" w:rsidRDefault="0007597C" w:rsidP="00827F06">
      <w:pPr>
        <w:pStyle w:val="ListeParagraf"/>
        <w:numPr>
          <w:ilvl w:val="2"/>
          <w:numId w:val="10"/>
        </w:numPr>
        <w:tabs>
          <w:tab w:val="left" w:pos="0"/>
          <w:tab w:val="left" w:pos="284"/>
          <w:tab w:val="left" w:pos="567"/>
        </w:tabs>
        <w:spacing w:after="0"/>
        <w:ind w:left="0" w:firstLine="0"/>
        <w:jc w:val="both"/>
        <w:rPr>
          <w:rFonts w:ascii="Arial" w:eastAsia="Times New Roman" w:hAnsi="Arial" w:cs="Arial"/>
          <w:b/>
        </w:rPr>
      </w:pPr>
      <w:r w:rsidRPr="00855495">
        <w:rPr>
          <w:rFonts w:ascii="Arial" w:hAnsi="Arial" w:cs="Arial"/>
        </w:rPr>
        <w:t xml:space="preserve">  </w:t>
      </w:r>
      <w:r w:rsidR="00615CB4" w:rsidRPr="00855495">
        <w:rPr>
          <w:rFonts w:ascii="Arial" w:hAnsi="Arial" w:cs="Arial"/>
        </w:rPr>
        <w:t>Müşteri ile ilgili olarak müşteri dışındaki kaynaklardan elde edilen bilgiler (örneğin, şikâyette bulunanlardan veya düzenleyici makamlardan) gizli olarak değerlendirilmektedir.</w:t>
      </w:r>
    </w:p>
    <w:p w14:paraId="2DEF5C2C" w14:textId="77777777" w:rsidR="00702A92" w:rsidRPr="00855495" w:rsidRDefault="00702A92" w:rsidP="00827F06">
      <w:pPr>
        <w:pStyle w:val="ListeParagraf"/>
        <w:tabs>
          <w:tab w:val="left" w:pos="0"/>
          <w:tab w:val="left" w:pos="284"/>
          <w:tab w:val="left" w:pos="567"/>
        </w:tabs>
        <w:spacing w:after="0"/>
        <w:ind w:left="0"/>
        <w:jc w:val="both"/>
        <w:rPr>
          <w:rFonts w:ascii="Arial" w:eastAsia="Times New Roman" w:hAnsi="Arial" w:cs="Arial"/>
          <w:b/>
        </w:rPr>
      </w:pPr>
    </w:p>
    <w:p w14:paraId="62CA860D" w14:textId="77777777" w:rsidR="00C03E9C" w:rsidRPr="00855495" w:rsidRDefault="00C03E9C" w:rsidP="005730B8">
      <w:pPr>
        <w:pStyle w:val="ListeParagraf"/>
        <w:numPr>
          <w:ilvl w:val="0"/>
          <w:numId w:val="10"/>
        </w:numPr>
        <w:ind w:left="284" w:hanging="284"/>
        <w:jc w:val="both"/>
        <w:rPr>
          <w:rFonts w:ascii="Arial" w:eastAsia="Times New Roman" w:hAnsi="Arial" w:cs="Arial"/>
          <w:b/>
        </w:rPr>
      </w:pPr>
      <w:r w:rsidRPr="00855495">
        <w:rPr>
          <w:rFonts w:ascii="Arial" w:eastAsia="Times New Roman" w:hAnsi="Arial" w:cs="Arial"/>
          <w:b/>
        </w:rPr>
        <w:t>İLGİLİ DOKÜMANLAR</w:t>
      </w:r>
    </w:p>
    <w:p w14:paraId="1F8B55A2" w14:textId="77777777" w:rsidR="00855495" w:rsidRPr="00855495" w:rsidRDefault="00855495" w:rsidP="00855495">
      <w:pPr>
        <w:spacing w:after="0"/>
        <w:jc w:val="both"/>
        <w:rPr>
          <w:rFonts w:ascii="Arial" w:hAnsi="Arial" w:cs="Arial"/>
        </w:rPr>
      </w:pPr>
      <w:r w:rsidRPr="00855495">
        <w:rPr>
          <w:rFonts w:ascii="Arial" w:hAnsi="Arial" w:cs="Arial"/>
        </w:rPr>
        <w:t>FR.07 Risk Analiz Formu</w:t>
      </w:r>
    </w:p>
    <w:p w14:paraId="3678C169" w14:textId="2E565BCE" w:rsidR="00C03E9C" w:rsidRPr="00855495" w:rsidRDefault="00FF58EA" w:rsidP="00827F06">
      <w:pPr>
        <w:spacing w:after="0"/>
        <w:jc w:val="both"/>
        <w:rPr>
          <w:rFonts w:ascii="Arial" w:eastAsia="Times New Roman" w:hAnsi="Arial" w:cs="Arial"/>
          <w:bCs/>
        </w:rPr>
      </w:pPr>
      <w:r w:rsidRPr="00855495">
        <w:rPr>
          <w:rFonts w:ascii="Arial" w:hAnsi="Arial" w:cs="Arial"/>
        </w:rPr>
        <w:t>FR.0</w:t>
      </w:r>
      <w:r w:rsidR="00855495" w:rsidRPr="00855495">
        <w:rPr>
          <w:rFonts w:ascii="Arial" w:hAnsi="Arial" w:cs="Arial"/>
        </w:rPr>
        <w:t>8</w:t>
      </w:r>
      <w:r w:rsidRPr="00855495">
        <w:rPr>
          <w:rFonts w:ascii="Arial" w:hAnsi="Arial" w:cs="Arial"/>
        </w:rPr>
        <w:t xml:space="preserve"> </w:t>
      </w:r>
      <w:r w:rsidR="000B2F22" w:rsidRPr="00855495">
        <w:rPr>
          <w:rFonts w:ascii="Arial" w:hAnsi="Arial" w:cs="Arial"/>
        </w:rPr>
        <w:t xml:space="preserve">Üst Yönetimin Bağımsızlık, Tarafsızlık </w:t>
      </w:r>
      <w:r w:rsidRPr="00855495">
        <w:rPr>
          <w:rFonts w:ascii="Arial" w:hAnsi="Arial" w:cs="Arial"/>
        </w:rPr>
        <w:t>ve</w:t>
      </w:r>
      <w:r w:rsidR="000B2F22" w:rsidRPr="00855495">
        <w:rPr>
          <w:rFonts w:ascii="Arial" w:hAnsi="Arial" w:cs="Arial"/>
        </w:rPr>
        <w:t xml:space="preserve"> Gizlilik Taahhüdü</w:t>
      </w:r>
    </w:p>
    <w:p w14:paraId="51A0A5CC" w14:textId="7F9446AC" w:rsidR="000B2F22" w:rsidRPr="00855495" w:rsidRDefault="00FF58EA" w:rsidP="00827F06">
      <w:pPr>
        <w:spacing w:after="0"/>
        <w:jc w:val="both"/>
        <w:rPr>
          <w:rFonts w:ascii="Arial" w:eastAsia="Times New Roman" w:hAnsi="Arial" w:cs="Arial"/>
        </w:rPr>
      </w:pPr>
      <w:r w:rsidRPr="00855495">
        <w:rPr>
          <w:rFonts w:ascii="Arial" w:eastAsia="Times New Roman" w:hAnsi="Arial" w:cs="Arial"/>
        </w:rPr>
        <w:t>FR.0</w:t>
      </w:r>
      <w:r w:rsidR="00855495" w:rsidRPr="00855495">
        <w:rPr>
          <w:rFonts w:ascii="Arial" w:eastAsia="Times New Roman" w:hAnsi="Arial" w:cs="Arial"/>
        </w:rPr>
        <w:t>9</w:t>
      </w:r>
      <w:r w:rsidRPr="00855495">
        <w:rPr>
          <w:rFonts w:ascii="Arial" w:eastAsia="Times New Roman" w:hAnsi="Arial" w:cs="Arial"/>
        </w:rPr>
        <w:t xml:space="preserve"> </w:t>
      </w:r>
      <w:r w:rsidR="000B2F22" w:rsidRPr="00855495">
        <w:rPr>
          <w:rFonts w:ascii="Arial" w:eastAsia="Times New Roman" w:hAnsi="Arial" w:cs="Arial"/>
        </w:rPr>
        <w:t xml:space="preserve">Personel Bağımsızlık, Tarafsızlık </w:t>
      </w:r>
      <w:r w:rsidRPr="00855495">
        <w:rPr>
          <w:rFonts w:ascii="Arial" w:eastAsia="Times New Roman" w:hAnsi="Arial" w:cs="Arial"/>
        </w:rPr>
        <w:t>ve</w:t>
      </w:r>
      <w:r w:rsidR="000B2F22" w:rsidRPr="00855495">
        <w:rPr>
          <w:rFonts w:ascii="Arial" w:eastAsia="Times New Roman" w:hAnsi="Arial" w:cs="Arial"/>
        </w:rPr>
        <w:t xml:space="preserve"> Gizlilik Taahhüdü</w:t>
      </w:r>
    </w:p>
    <w:p w14:paraId="25598BB4" w14:textId="1609625C" w:rsidR="00143977" w:rsidRPr="00855495" w:rsidRDefault="00143977" w:rsidP="00827F06">
      <w:pPr>
        <w:spacing w:after="0"/>
        <w:jc w:val="both"/>
        <w:rPr>
          <w:rFonts w:ascii="Arial" w:eastAsia="Times New Roman" w:hAnsi="Arial" w:cs="Arial"/>
        </w:rPr>
      </w:pPr>
      <w:r w:rsidRPr="00855495">
        <w:rPr>
          <w:rFonts w:ascii="Arial" w:hAnsi="Arial" w:cs="Arial"/>
        </w:rPr>
        <w:t>TL.01 Risk Yönetim Talimatı</w:t>
      </w:r>
    </w:p>
    <w:p w14:paraId="67C69B23" w14:textId="77777777" w:rsidR="001D72E6" w:rsidRPr="00855495" w:rsidRDefault="001D72E6" w:rsidP="005730B8">
      <w:pPr>
        <w:pStyle w:val="ListeParagraf"/>
        <w:numPr>
          <w:ilvl w:val="0"/>
          <w:numId w:val="10"/>
        </w:numPr>
        <w:spacing w:before="240"/>
        <w:ind w:left="284" w:hanging="284"/>
        <w:jc w:val="both"/>
        <w:rPr>
          <w:rFonts w:ascii="Arial" w:eastAsia="Times New Roman" w:hAnsi="Arial" w:cs="Arial"/>
          <w:b/>
        </w:rPr>
      </w:pPr>
      <w:bookmarkStart w:id="0" w:name="_Hlk35250917"/>
      <w:bookmarkStart w:id="1" w:name="_Hlk35252267"/>
      <w:r w:rsidRPr="00855495">
        <w:rPr>
          <w:rFonts w:ascii="Arial" w:eastAsia="Times New Roman" w:hAnsi="Arial" w:cs="Arial"/>
          <w:b/>
        </w:rPr>
        <w:t>REVİZYON</w:t>
      </w:r>
      <w:bookmarkEnd w:id="0"/>
      <w:r w:rsidRPr="00855495">
        <w:rPr>
          <w:rFonts w:ascii="Arial" w:eastAsia="Times New Roman" w:hAnsi="Arial" w:cs="Arial"/>
          <w:b/>
        </w:rPr>
        <w:t xml:space="preserve"> DURUM TABLOSU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01"/>
        <w:gridCol w:w="1560"/>
        <w:gridCol w:w="6378"/>
      </w:tblGrid>
      <w:tr w:rsidR="001D72E6" w:rsidRPr="00855495" w14:paraId="53891F52" w14:textId="77777777" w:rsidTr="005D1AC7">
        <w:trPr>
          <w:trHeight w:val="590"/>
        </w:trPr>
        <w:tc>
          <w:tcPr>
            <w:tcW w:w="1701" w:type="dxa"/>
            <w:shd w:val="clear" w:color="auto" w:fill="BFBFBF"/>
            <w:vAlign w:val="center"/>
          </w:tcPr>
          <w:bookmarkEnd w:id="1"/>
          <w:p w14:paraId="493A85AD" w14:textId="77777777" w:rsidR="001D72E6" w:rsidRPr="00855495" w:rsidRDefault="001D72E6" w:rsidP="007C2789">
            <w:pPr>
              <w:spacing w:after="0"/>
              <w:ind w:right="-70"/>
              <w:jc w:val="center"/>
              <w:rPr>
                <w:rFonts w:ascii="Arial" w:hAnsi="Arial" w:cs="Arial"/>
                <w:b/>
              </w:rPr>
            </w:pPr>
            <w:r w:rsidRPr="00855495">
              <w:rPr>
                <w:rFonts w:ascii="Arial" w:hAnsi="Arial" w:cs="Arial"/>
                <w:b/>
              </w:rPr>
              <w:t>REVİZYO NO</w:t>
            </w:r>
          </w:p>
        </w:tc>
        <w:tc>
          <w:tcPr>
            <w:tcW w:w="1560" w:type="dxa"/>
            <w:shd w:val="clear" w:color="auto" w:fill="BFBFBF"/>
            <w:vAlign w:val="center"/>
          </w:tcPr>
          <w:p w14:paraId="65272745" w14:textId="77777777" w:rsidR="001D72E6" w:rsidRPr="00855495" w:rsidRDefault="001D72E6" w:rsidP="007C2789">
            <w:pPr>
              <w:spacing w:after="0"/>
              <w:ind w:firstLine="5"/>
              <w:jc w:val="center"/>
              <w:rPr>
                <w:rFonts w:ascii="Arial" w:hAnsi="Arial" w:cs="Arial"/>
                <w:b/>
              </w:rPr>
            </w:pPr>
            <w:r w:rsidRPr="00855495">
              <w:rPr>
                <w:rFonts w:ascii="Arial" w:hAnsi="Arial" w:cs="Arial"/>
                <w:b/>
              </w:rPr>
              <w:t>TARİH</w:t>
            </w:r>
          </w:p>
        </w:tc>
        <w:tc>
          <w:tcPr>
            <w:tcW w:w="6378" w:type="dxa"/>
            <w:shd w:val="clear" w:color="auto" w:fill="BFBFBF"/>
            <w:vAlign w:val="center"/>
          </w:tcPr>
          <w:p w14:paraId="2A1A71B6" w14:textId="77777777" w:rsidR="001D72E6" w:rsidRPr="00855495" w:rsidRDefault="001D72E6" w:rsidP="007C2789">
            <w:pPr>
              <w:spacing w:after="0"/>
              <w:jc w:val="center"/>
              <w:rPr>
                <w:rFonts w:ascii="Arial" w:hAnsi="Arial" w:cs="Arial"/>
                <w:b/>
              </w:rPr>
            </w:pPr>
            <w:r w:rsidRPr="00855495">
              <w:rPr>
                <w:rFonts w:ascii="Arial" w:hAnsi="Arial" w:cs="Arial"/>
                <w:b/>
              </w:rPr>
              <w:t>AÇIKLAMA</w:t>
            </w:r>
          </w:p>
        </w:tc>
      </w:tr>
      <w:tr w:rsidR="001D72E6" w:rsidRPr="00855495" w14:paraId="5F2F788F" w14:textId="77777777" w:rsidTr="005D1AC7">
        <w:trPr>
          <w:trHeight w:val="340"/>
        </w:trPr>
        <w:tc>
          <w:tcPr>
            <w:tcW w:w="1701" w:type="dxa"/>
            <w:vAlign w:val="center"/>
          </w:tcPr>
          <w:p w14:paraId="4E835C36" w14:textId="77777777" w:rsidR="001D72E6" w:rsidRPr="00855495" w:rsidRDefault="001D72E6" w:rsidP="007C2789">
            <w:pPr>
              <w:spacing w:after="0"/>
              <w:jc w:val="center"/>
              <w:rPr>
                <w:rFonts w:ascii="Arial" w:hAnsi="Arial" w:cs="Arial"/>
                <w:color w:val="000000" w:themeColor="text1"/>
              </w:rPr>
            </w:pPr>
          </w:p>
        </w:tc>
        <w:tc>
          <w:tcPr>
            <w:tcW w:w="1560" w:type="dxa"/>
            <w:vAlign w:val="center"/>
          </w:tcPr>
          <w:p w14:paraId="20757223" w14:textId="77777777" w:rsidR="001D72E6" w:rsidRPr="00855495" w:rsidRDefault="001D72E6" w:rsidP="007C2789">
            <w:pPr>
              <w:spacing w:after="0"/>
              <w:ind w:right="-70"/>
              <w:jc w:val="center"/>
              <w:rPr>
                <w:rFonts w:ascii="Arial" w:hAnsi="Arial" w:cs="Arial"/>
                <w:color w:val="000000" w:themeColor="text1"/>
              </w:rPr>
            </w:pPr>
          </w:p>
        </w:tc>
        <w:tc>
          <w:tcPr>
            <w:tcW w:w="6378" w:type="dxa"/>
            <w:vAlign w:val="center"/>
          </w:tcPr>
          <w:p w14:paraId="54A87F7B" w14:textId="77777777" w:rsidR="001D72E6" w:rsidRPr="00855495" w:rsidRDefault="001D72E6" w:rsidP="007C2789">
            <w:pPr>
              <w:spacing w:after="0"/>
              <w:jc w:val="center"/>
              <w:rPr>
                <w:rFonts w:ascii="Arial" w:hAnsi="Arial" w:cs="Arial"/>
                <w:color w:val="000000" w:themeColor="text1"/>
              </w:rPr>
            </w:pPr>
          </w:p>
        </w:tc>
      </w:tr>
      <w:tr w:rsidR="001D72E6" w:rsidRPr="00855495" w14:paraId="2F60634E" w14:textId="77777777" w:rsidTr="005D1AC7">
        <w:trPr>
          <w:trHeight w:val="340"/>
        </w:trPr>
        <w:tc>
          <w:tcPr>
            <w:tcW w:w="1701" w:type="dxa"/>
            <w:vAlign w:val="center"/>
          </w:tcPr>
          <w:p w14:paraId="3B30EED9" w14:textId="77777777" w:rsidR="001D72E6" w:rsidRPr="00855495" w:rsidRDefault="001D72E6" w:rsidP="007C2789">
            <w:pPr>
              <w:spacing w:after="0"/>
              <w:jc w:val="center"/>
              <w:rPr>
                <w:rFonts w:ascii="Arial" w:hAnsi="Arial" w:cs="Arial"/>
                <w:color w:val="000000" w:themeColor="text1"/>
              </w:rPr>
            </w:pPr>
          </w:p>
        </w:tc>
        <w:tc>
          <w:tcPr>
            <w:tcW w:w="1560" w:type="dxa"/>
            <w:vAlign w:val="center"/>
          </w:tcPr>
          <w:p w14:paraId="5F47E00F" w14:textId="77777777" w:rsidR="001D72E6" w:rsidRPr="00855495" w:rsidRDefault="001D72E6" w:rsidP="007C2789">
            <w:pPr>
              <w:spacing w:after="0"/>
              <w:ind w:right="-70"/>
              <w:jc w:val="center"/>
              <w:rPr>
                <w:rFonts w:ascii="Arial" w:hAnsi="Arial" w:cs="Arial"/>
                <w:color w:val="000000" w:themeColor="text1"/>
              </w:rPr>
            </w:pPr>
          </w:p>
        </w:tc>
        <w:tc>
          <w:tcPr>
            <w:tcW w:w="6378" w:type="dxa"/>
            <w:vAlign w:val="center"/>
          </w:tcPr>
          <w:p w14:paraId="636B887F" w14:textId="77777777" w:rsidR="001D72E6" w:rsidRPr="00855495" w:rsidRDefault="001D72E6" w:rsidP="007C2789">
            <w:pPr>
              <w:spacing w:after="0"/>
              <w:jc w:val="center"/>
              <w:rPr>
                <w:rFonts w:ascii="Arial" w:hAnsi="Arial" w:cs="Arial"/>
                <w:color w:val="000000" w:themeColor="text1"/>
              </w:rPr>
            </w:pPr>
          </w:p>
        </w:tc>
      </w:tr>
      <w:tr w:rsidR="001D72E6" w:rsidRPr="00855495" w14:paraId="7850A484" w14:textId="77777777" w:rsidTr="005D1AC7">
        <w:trPr>
          <w:trHeight w:val="340"/>
        </w:trPr>
        <w:tc>
          <w:tcPr>
            <w:tcW w:w="1701" w:type="dxa"/>
            <w:vAlign w:val="center"/>
          </w:tcPr>
          <w:p w14:paraId="1FCE61C8" w14:textId="77777777" w:rsidR="001D72E6" w:rsidRPr="00855495" w:rsidRDefault="001D72E6" w:rsidP="007C2789">
            <w:pPr>
              <w:spacing w:after="0"/>
              <w:jc w:val="center"/>
              <w:rPr>
                <w:rFonts w:ascii="Arial" w:hAnsi="Arial" w:cs="Arial"/>
                <w:color w:val="000000" w:themeColor="text1"/>
              </w:rPr>
            </w:pPr>
          </w:p>
        </w:tc>
        <w:tc>
          <w:tcPr>
            <w:tcW w:w="1560" w:type="dxa"/>
            <w:vAlign w:val="center"/>
          </w:tcPr>
          <w:p w14:paraId="4B8A0335" w14:textId="77777777" w:rsidR="001D72E6" w:rsidRPr="00855495" w:rsidRDefault="001D72E6" w:rsidP="007C2789">
            <w:pPr>
              <w:spacing w:after="0"/>
              <w:ind w:right="-70"/>
              <w:jc w:val="center"/>
              <w:rPr>
                <w:rFonts w:ascii="Arial" w:hAnsi="Arial" w:cs="Arial"/>
                <w:color w:val="000000" w:themeColor="text1"/>
              </w:rPr>
            </w:pPr>
          </w:p>
        </w:tc>
        <w:tc>
          <w:tcPr>
            <w:tcW w:w="6378" w:type="dxa"/>
            <w:vAlign w:val="center"/>
          </w:tcPr>
          <w:p w14:paraId="08A9E206" w14:textId="77777777" w:rsidR="001D72E6" w:rsidRPr="00855495" w:rsidRDefault="001D72E6" w:rsidP="007C2789">
            <w:pPr>
              <w:spacing w:after="0"/>
              <w:jc w:val="center"/>
              <w:rPr>
                <w:rFonts w:ascii="Arial" w:hAnsi="Arial" w:cs="Arial"/>
                <w:b/>
                <w:color w:val="000000" w:themeColor="text1"/>
              </w:rPr>
            </w:pPr>
          </w:p>
        </w:tc>
      </w:tr>
    </w:tbl>
    <w:p w14:paraId="48C45FD4" w14:textId="7647038E" w:rsidR="001D72E6" w:rsidRDefault="001D72E6" w:rsidP="001D72E6">
      <w:pPr>
        <w:tabs>
          <w:tab w:val="left" w:pos="567"/>
        </w:tabs>
        <w:spacing w:before="40" w:after="120" w:line="360" w:lineRule="auto"/>
        <w:ind w:right="57"/>
        <w:contextualSpacing/>
        <w:jc w:val="both"/>
        <w:rPr>
          <w:rFonts w:ascii="Arial" w:hAnsi="Arial" w:cs="Arial"/>
          <w:color w:val="000000" w:themeColor="text1"/>
        </w:rPr>
      </w:pPr>
    </w:p>
    <w:p w14:paraId="1D605F3E" w14:textId="77777777" w:rsidR="005730B8" w:rsidRPr="00855495" w:rsidRDefault="005730B8" w:rsidP="001D72E6">
      <w:pPr>
        <w:tabs>
          <w:tab w:val="left" w:pos="567"/>
        </w:tabs>
        <w:spacing w:before="40" w:after="120" w:line="360" w:lineRule="auto"/>
        <w:ind w:right="57"/>
        <w:contextualSpacing/>
        <w:jc w:val="both"/>
        <w:rPr>
          <w:rFonts w:ascii="Arial" w:hAnsi="Arial" w:cs="Arial"/>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5D1AC7" w:rsidRPr="005D1AC7" w14:paraId="17699107" w14:textId="77777777" w:rsidTr="005D1AC7">
        <w:trPr>
          <w:trHeight w:val="320"/>
        </w:trPr>
        <w:tc>
          <w:tcPr>
            <w:tcW w:w="4849" w:type="dxa"/>
            <w:vAlign w:val="center"/>
          </w:tcPr>
          <w:p w14:paraId="7C9E25B3" w14:textId="77777777" w:rsidR="005D1AC7" w:rsidRPr="005D1AC7" w:rsidRDefault="005D1AC7" w:rsidP="005D1AC7">
            <w:pPr>
              <w:tabs>
                <w:tab w:val="left" w:pos="284"/>
              </w:tabs>
              <w:spacing w:after="0" w:line="240" w:lineRule="auto"/>
              <w:ind w:right="-284"/>
              <w:jc w:val="center"/>
              <w:rPr>
                <w:rFonts w:ascii="Arial" w:eastAsia="Times New Roman" w:hAnsi="Arial" w:cs="Arial"/>
                <w:b/>
                <w:bCs/>
                <w:color w:val="000000"/>
                <w:spacing w:val="10"/>
              </w:rPr>
            </w:pPr>
            <w:r w:rsidRPr="005D1AC7">
              <w:rPr>
                <w:rFonts w:ascii="Arial" w:eastAsia="Times New Roman" w:hAnsi="Arial" w:cs="Arial"/>
                <w:b/>
                <w:bCs/>
                <w:color w:val="000000"/>
                <w:spacing w:val="10"/>
              </w:rPr>
              <w:t>HAZIRLAYAN</w:t>
            </w:r>
          </w:p>
        </w:tc>
        <w:tc>
          <w:tcPr>
            <w:tcW w:w="4790" w:type="dxa"/>
            <w:vAlign w:val="center"/>
          </w:tcPr>
          <w:p w14:paraId="5A194B46" w14:textId="77777777" w:rsidR="005D1AC7" w:rsidRPr="005D1AC7" w:rsidRDefault="005D1AC7" w:rsidP="005D1AC7">
            <w:pPr>
              <w:tabs>
                <w:tab w:val="left" w:pos="284"/>
              </w:tabs>
              <w:spacing w:after="0" w:line="240" w:lineRule="auto"/>
              <w:ind w:right="-284"/>
              <w:jc w:val="center"/>
              <w:rPr>
                <w:rFonts w:ascii="Arial" w:eastAsia="Times New Roman" w:hAnsi="Arial" w:cs="Arial"/>
                <w:b/>
                <w:bCs/>
                <w:color w:val="000000"/>
                <w:spacing w:val="10"/>
              </w:rPr>
            </w:pPr>
            <w:r w:rsidRPr="005D1AC7">
              <w:rPr>
                <w:rFonts w:ascii="Arial" w:eastAsia="Times New Roman" w:hAnsi="Arial" w:cs="Arial"/>
                <w:b/>
                <w:bCs/>
                <w:color w:val="000000"/>
                <w:spacing w:val="10"/>
              </w:rPr>
              <w:t>KONTROLEDEN/ONAYLAYAN</w:t>
            </w:r>
          </w:p>
        </w:tc>
      </w:tr>
      <w:tr w:rsidR="005D1AC7" w:rsidRPr="005D1AC7" w14:paraId="78A424C0" w14:textId="77777777" w:rsidTr="005D1AC7">
        <w:trPr>
          <w:trHeight w:val="1074"/>
        </w:trPr>
        <w:tc>
          <w:tcPr>
            <w:tcW w:w="4849" w:type="dxa"/>
            <w:vAlign w:val="center"/>
          </w:tcPr>
          <w:p w14:paraId="47ED6FCA" w14:textId="77777777" w:rsidR="005D1AC7" w:rsidRPr="005D1AC7" w:rsidRDefault="005D1AC7" w:rsidP="005D1AC7">
            <w:pPr>
              <w:tabs>
                <w:tab w:val="left" w:pos="284"/>
              </w:tabs>
              <w:spacing w:after="0" w:line="240" w:lineRule="auto"/>
              <w:ind w:right="-284"/>
              <w:jc w:val="center"/>
              <w:rPr>
                <w:rFonts w:ascii="Arial" w:eastAsia="Times New Roman" w:hAnsi="Arial" w:cs="Arial"/>
                <w:b/>
                <w:bCs/>
                <w:color w:val="000000"/>
                <w:spacing w:val="10"/>
              </w:rPr>
            </w:pPr>
          </w:p>
        </w:tc>
        <w:tc>
          <w:tcPr>
            <w:tcW w:w="4790" w:type="dxa"/>
            <w:vAlign w:val="center"/>
          </w:tcPr>
          <w:p w14:paraId="7AE685B3" w14:textId="77777777" w:rsidR="005D1AC7" w:rsidRPr="005D1AC7" w:rsidRDefault="005D1AC7" w:rsidP="005D1AC7">
            <w:pPr>
              <w:tabs>
                <w:tab w:val="left" w:pos="284"/>
              </w:tabs>
              <w:spacing w:after="0" w:line="240" w:lineRule="auto"/>
              <w:ind w:right="-284"/>
              <w:jc w:val="center"/>
              <w:rPr>
                <w:rFonts w:ascii="Arial" w:eastAsia="Times New Roman" w:hAnsi="Arial" w:cs="Arial"/>
                <w:b/>
                <w:bCs/>
                <w:color w:val="000000"/>
                <w:spacing w:val="10"/>
              </w:rPr>
            </w:pPr>
          </w:p>
        </w:tc>
      </w:tr>
    </w:tbl>
    <w:p w14:paraId="155CB4ED" w14:textId="77777777" w:rsidR="001D72E6" w:rsidRPr="00855495" w:rsidRDefault="001D72E6" w:rsidP="005730B8">
      <w:pPr>
        <w:tabs>
          <w:tab w:val="left" w:pos="567"/>
        </w:tabs>
        <w:spacing w:before="40" w:after="120" w:line="360" w:lineRule="auto"/>
        <w:ind w:right="57"/>
        <w:contextualSpacing/>
        <w:jc w:val="both"/>
        <w:rPr>
          <w:rFonts w:ascii="Arial" w:hAnsi="Arial" w:cs="Arial"/>
          <w:color w:val="000000" w:themeColor="text1"/>
        </w:rPr>
      </w:pPr>
    </w:p>
    <w:sectPr w:rsidR="001D72E6" w:rsidRPr="00855495" w:rsidSect="005D1AC7">
      <w:headerReference w:type="default" r:id="rId8"/>
      <w:footerReference w:type="default" r:id="rId9"/>
      <w:pgSz w:w="11906" w:h="16838"/>
      <w:pgMar w:top="69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F3431" w14:textId="77777777" w:rsidR="00894295" w:rsidRDefault="00894295" w:rsidP="009C6FF4">
      <w:pPr>
        <w:spacing w:after="0" w:line="240" w:lineRule="auto"/>
      </w:pPr>
      <w:r>
        <w:separator/>
      </w:r>
    </w:p>
  </w:endnote>
  <w:endnote w:type="continuationSeparator" w:id="0">
    <w:p w14:paraId="636E2864" w14:textId="77777777" w:rsidR="00894295" w:rsidRDefault="00894295" w:rsidP="009C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45147" w14:textId="77777777" w:rsidR="005E2D7E" w:rsidRPr="00FF58EA" w:rsidRDefault="005E2D7E" w:rsidP="005E2D7E">
    <w:pPr>
      <w:tabs>
        <w:tab w:val="center" w:pos="4536"/>
        <w:tab w:val="right" w:pos="9072"/>
      </w:tabs>
      <w:spacing w:after="0" w:line="240" w:lineRule="auto"/>
      <w:ind w:left="-142"/>
      <w:rPr>
        <w:rFonts w:ascii="Arial Narrow" w:eastAsia="SimSun" w:hAnsi="Arial Narrow" w:cs="Times New Roman"/>
        <w:b/>
        <w:sz w:val="16"/>
        <w:szCs w:val="16"/>
      </w:rPr>
    </w:pPr>
    <w:bookmarkStart w:id="2" w:name="_Hlk19265218"/>
  </w:p>
  <w:p w14:paraId="2CCEF625" w14:textId="61F509D4" w:rsidR="002707C3" w:rsidRPr="00920952" w:rsidRDefault="00855495" w:rsidP="00920952">
    <w:pPr>
      <w:tabs>
        <w:tab w:val="center" w:pos="4536"/>
        <w:tab w:val="right" w:pos="9356"/>
      </w:tabs>
      <w:spacing w:after="0" w:line="240" w:lineRule="auto"/>
      <w:rPr>
        <w:rFonts w:ascii="Arial Narrow" w:eastAsia="Times New Roman" w:hAnsi="Arial Narrow" w:cs="Times New Roman"/>
        <w:bCs/>
        <w:color w:val="000000"/>
        <w:spacing w:val="10"/>
        <w:sz w:val="20"/>
        <w:szCs w:val="20"/>
      </w:rPr>
    </w:pPr>
    <w:r>
      <w:rPr>
        <w:rStyle w:val="SayfaNumaras"/>
        <w:rFonts w:ascii="Arial Narrow" w:hAnsi="Arial Narrow"/>
        <w:sz w:val="18"/>
        <w:szCs w:val="16"/>
      </w:rPr>
      <w:t xml:space="preserve">Cereyan Mühendislik </w:t>
    </w:r>
    <w:r w:rsidR="005E2D7E" w:rsidRPr="00FF58EA">
      <w:rPr>
        <w:rStyle w:val="SayfaNumaras"/>
        <w:rFonts w:ascii="Arial Narrow" w:hAnsi="Arial Narrow"/>
        <w:sz w:val="18"/>
        <w:szCs w:val="16"/>
      </w:rPr>
      <w:t xml:space="preserve">Kalite Yönetim Sistemi’ne ait güncel dokümanlar </w:t>
    </w:r>
    <w:r>
      <w:rPr>
        <w:rStyle w:val="SayfaNumaras"/>
        <w:rFonts w:ascii="Arial Narrow" w:hAnsi="Arial Narrow"/>
        <w:sz w:val="18"/>
        <w:szCs w:val="16"/>
      </w:rPr>
      <w:t>ortak ağ</w:t>
    </w:r>
    <w:r w:rsidR="00E71055">
      <w:rPr>
        <w:rStyle w:val="SayfaNumaras"/>
        <w:rFonts w:ascii="Arial Narrow" w:hAnsi="Arial Narrow"/>
        <w:sz w:val="18"/>
        <w:szCs w:val="16"/>
      </w:rPr>
      <w:t xml:space="preserve"> </w:t>
    </w:r>
    <w:r w:rsidR="005E2D7E" w:rsidRPr="00FF58EA">
      <w:rPr>
        <w:rStyle w:val="SayfaNumaras"/>
        <w:rFonts w:ascii="Arial Narrow" w:hAnsi="Arial Narrow"/>
        <w:sz w:val="18"/>
        <w:szCs w:val="16"/>
      </w:rPr>
      <w:t xml:space="preserve">üzerindedir. Basılı ortamda bulunan dokümanlar </w:t>
    </w:r>
    <w:r w:rsidR="005E2D7E" w:rsidRPr="00FF58EA">
      <w:rPr>
        <w:rStyle w:val="SayfaNumaras"/>
        <w:rFonts w:ascii="Arial Narrow" w:hAnsi="Arial Narrow"/>
        <w:b/>
        <w:sz w:val="18"/>
        <w:szCs w:val="16"/>
      </w:rPr>
      <w:t>“Kontrolsüz Kopya”</w:t>
    </w:r>
    <w:r w:rsidR="005E2D7E" w:rsidRPr="00FF58EA">
      <w:rPr>
        <w:rStyle w:val="SayfaNumaras"/>
        <w:rFonts w:ascii="Arial Narrow" w:hAnsi="Arial Narrow"/>
        <w:sz w:val="18"/>
        <w:szCs w:val="16"/>
      </w:rPr>
      <w:t xml:space="preserve"> niteli</w:t>
    </w:r>
    <w:r w:rsidR="005E2D7E" w:rsidRPr="00FF58EA">
      <w:rPr>
        <w:rStyle w:val="SayfaNumaras"/>
        <w:rFonts w:ascii="Arial Narrow" w:hAnsi="Arial Narrow" w:cs="Calibri"/>
        <w:sz w:val="18"/>
        <w:szCs w:val="16"/>
      </w:rPr>
      <w:t>ği</w:t>
    </w:r>
    <w:r w:rsidR="005E2D7E" w:rsidRPr="00FF58EA">
      <w:rPr>
        <w:rStyle w:val="SayfaNumaras"/>
        <w:rFonts w:ascii="Arial Narrow" w:hAnsi="Arial Narrow"/>
        <w:sz w:val="18"/>
        <w:szCs w:val="16"/>
      </w:rPr>
      <w:t>ndedir. Basılı ortamda kontrollü kopya talebinizi Kalite Birimi’ne iletmeniz gereklidir. Kurum içi kullanım içindir, ço</w:t>
    </w:r>
    <w:r w:rsidR="005E2D7E" w:rsidRPr="00FF58EA">
      <w:rPr>
        <w:rStyle w:val="SayfaNumaras"/>
        <w:rFonts w:ascii="Arial Narrow" w:hAnsi="Arial Narrow" w:cs="Calibri"/>
        <w:sz w:val="18"/>
        <w:szCs w:val="16"/>
      </w:rPr>
      <w:t>ğaltılamaz ve kurum dışına çıkartılamaz.</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4466F" w14:textId="77777777" w:rsidR="00894295" w:rsidRDefault="00894295" w:rsidP="009C6FF4">
      <w:pPr>
        <w:spacing w:after="0" w:line="240" w:lineRule="auto"/>
      </w:pPr>
      <w:r>
        <w:separator/>
      </w:r>
    </w:p>
  </w:footnote>
  <w:footnote w:type="continuationSeparator" w:id="0">
    <w:p w14:paraId="05BAF87C" w14:textId="77777777" w:rsidR="00894295" w:rsidRDefault="00894295" w:rsidP="009C6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969"/>
      <w:gridCol w:w="1701"/>
      <w:gridCol w:w="1842"/>
    </w:tblGrid>
    <w:tr w:rsidR="00855495" w:rsidRPr="00103856" w14:paraId="2684D05D" w14:textId="77777777" w:rsidTr="005D1AC7">
      <w:trPr>
        <w:trHeight w:val="264"/>
      </w:trPr>
      <w:tc>
        <w:tcPr>
          <w:tcW w:w="2127" w:type="dxa"/>
          <w:vMerge w:val="restart"/>
          <w:shd w:val="clear" w:color="auto" w:fill="auto"/>
          <w:vAlign w:val="center"/>
        </w:tcPr>
        <w:p w14:paraId="6CA30553" w14:textId="5EEEA2C6" w:rsidR="00855495" w:rsidRPr="00103856" w:rsidRDefault="000C0C93" w:rsidP="000C0C93">
          <w:pPr>
            <w:tabs>
              <w:tab w:val="center" w:pos="4536"/>
              <w:tab w:val="right" w:pos="9072"/>
            </w:tabs>
            <w:spacing w:after="0"/>
            <w:jc w:val="center"/>
          </w:pPr>
          <w:r>
            <w:rPr>
              <w:noProof/>
            </w:rPr>
            <w:drawing>
              <wp:inline distT="0" distB="0" distL="0" distR="0" wp14:anchorId="03E77979" wp14:editId="622BCDE1">
                <wp:extent cx="883920" cy="883920"/>
                <wp:effectExtent l="0" t="0" r="0" b="0"/>
                <wp:docPr id="19640350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13887" name="Resim 553413887"/>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inline>
            </w:drawing>
          </w:r>
        </w:p>
      </w:tc>
      <w:tc>
        <w:tcPr>
          <w:tcW w:w="3969" w:type="dxa"/>
          <w:vMerge w:val="restart"/>
          <w:shd w:val="clear" w:color="auto" w:fill="auto"/>
          <w:vAlign w:val="center"/>
        </w:tcPr>
        <w:p w14:paraId="45102E2C" w14:textId="55036A21" w:rsidR="00855495" w:rsidRPr="00103856" w:rsidRDefault="00855495" w:rsidP="00855495">
          <w:pPr>
            <w:spacing w:after="0"/>
            <w:jc w:val="center"/>
            <w:rPr>
              <w:rFonts w:ascii="Arial Narrow" w:hAnsi="Arial Narrow" w:cs="Arial"/>
              <w:b/>
              <w:bCs/>
            </w:rPr>
          </w:pPr>
          <w:r>
            <w:rPr>
              <w:rFonts w:ascii="Arial Narrow" w:hAnsi="Arial Narrow" w:cs="Arial"/>
              <w:b/>
              <w:bCs/>
            </w:rPr>
            <w:t>TARAFSIZLIK BAĞIMSIZLIK VE GİZLİLİK PROSEDÜRÜ</w:t>
          </w:r>
        </w:p>
      </w:tc>
      <w:tc>
        <w:tcPr>
          <w:tcW w:w="1701" w:type="dxa"/>
          <w:shd w:val="clear" w:color="auto" w:fill="auto"/>
          <w:vAlign w:val="bottom"/>
        </w:tcPr>
        <w:p w14:paraId="18C832EA" w14:textId="77777777" w:rsidR="00855495" w:rsidRPr="00103856" w:rsidRDefault="00855495" w:rsidP="00855495">
          <w:pPr>
            <w:spacing w:after="0"/>
            <w:rPr>
              <w:rFonts w:ascii="Calibri" w:hAnsi="Calibri" w:cs="Calibri"/>
              <w:color w:val="000000"/>
            </w:rPr>
          </w:pPr>
          <w:r w:rsidRPr="00103856">
            <w:rPr>
              <w:rFonts w:ascii="Calibri" w:hAnsi="Calibri" w:cs="Calibri"/>
              <w:color w:val="000000"/>
            </w:rPr>
            <w:t>Doküman No:</w:t>
          </w:r>
        </w:p>
      </w:tc>
      <w:tc>
        <w:tcPr>
          <w:tcW w:w="1842" w:type="dxa"/>
          <w:shd w:val="clear" w:color="auto" w:fill="auto"/>
          <w:vAlign w:val="bottom"/>
        </w:tcPr>
        <w:p w14:paraId="5356082F" w14:textId="4CF783D6" w:rsidR="00855495" w:rsidRPr="00103856" w:rsidRDefault="000C0C93" w:rsidP="00855495">
          <w:pPr>
            <w:spacing w:after="0"/>
            <w:rPr>
              <w:rFonts w:ascii="Calibri" w:hAnsi="Calibri" w:cs="Calibri"/>
              <w:color w:val="000000"/>
            </w:rPr>
          </w:pPr>
          <w:r>
            <w:rPr>
              <w:rFonts w:ascii="Calibri" w:hAnsi="Calibri" w:cs="Calibri"/>
              <w:color w:val="000000"/>
            </w:rPr>
            <w:t xml:space="preserve"> </w:t>
          </w:r>
          <w:r w:rsidR="00855495">
            <w:rPr>
              <w:rFonts w:ascii="Calibri" w:hAnsi="Calibri" w:cs="Calibri"/>
              <w:color w:val="000000"/>
            </w:rPr>
            <w:t>PR.01</w:t>
          </w:r>
        </w:p>
      </w:tc>
    </w:tr>
    <w:tr w:rsidR="00855495" w:rsidRPr="00103856" w14:paraId="40358756" w14:textId="77777777" w:rsidTr="005D1AC7">
      <w:tblPrEx>
        <w:tblCellMar>
          <w:left w:w="108" w:type="dxa"/>
          <w:right w:w="108" w:type="dxa"/>
        </w:tblCellMar>
      </w:tblPrEx>
      <w:trPr>
        <w:trHeight w:val="264"/>
      </w:trPr>
      <w:tc>
        <w:tcPr>
          <w:tcW w:w="2127" w:type="dxa"/>
          <w:vMerge/>
          <w:shd w:val="clear" w:color="auto" w:fill="auto"/>
        </w:tcPr>
        <w:p w14:paraId="503A38BB" w14:textId="77777777" w:rsidR="00855495" w:rsidRPr="00103856" w:rsidRDefault="00855495" w:rsidP="00855495">
          <w:pPr>
            <w:tabs>
              <w:tab w:val="center" w:pos="4536"/>
              <w:tab w:val="right" w:pos="9072"/>
            </w:tabs>
            <w:spacing w:after="0"/>
          </w:pPr>
        </w:p>
      </w:tc>
      <w:tc>
        <w:tcPr>
          <w:tcW w:w="3969" w:type="dxa"/>
          <w:vMerge/>
          <w:shd w:val="clear" w:color="auto" w:fill="auto"/>
        </w:tcPr>
        <w:p w14:paraId="649F3992" w14:textId="77777777" w:rsidR="00855495" w:rsidRPr="00103856" w:rsidRDefault="00855495" w:rsidP="00855495">
          <w:pPr>
            <w:tabs>
              <w:tab w:val="center" w:pos="4536"/>
              <w:tab w:val="right" w:pos="9072"/>
            </w:tabs>
            <w:spacing w:after="0"/>
          </w:pPr>
        </w:p>
      </w:tc>
      <w:tc>
        <w:tcPr>
          <w:tcW w:w="1701" w:type="dxa"/>
          <w:shd w:val="clear" w:color="auto" w:fill="auto"/>
          <w:vAlign w:val="bottom"/>
        </w:tcPr>
        <w:p w14:paraId="4B70757F" w14:textId="77777777" w:rsidR="00855495" w:rsidRPr="00103856" w:rsidRDefault="00855495" w:rsidP="00855495">
          <w:pPr>
            <w:spacing w:after="0"/>
            <w:rPr>
              <w:rFonts w:ascii="Calibri" w:hAnsi="Calibri" w:cs="Calibri"/>
              <w:color w:val="000000"/>
            </w:rPr>
          </w:pPr>
          <w:r w:rsidRPr="00103856">
            <w:rPr>
              <w:rFonts w:ascii="Calibri" w:hAnsi="Calibri" w:cs="Calibri"/>
              <w:color w:val="000000"/>
            </w:rPr>
            <w:t>Yayın Tarihi:</w:t>
          </w:r>
        </w:p>
      </w:tc>
      <w:tc>
        <w:tcPr>
          <w:tcW w:w="1842" w:type="dxa"/>
          <w:shd w:val="clear" w:color="auto" w:fill="auto"/>
          <w:vAlign w:val="bottom"/>
        </w:tcPr>
        <w:p w14:paraId="345872B6" w14:textId="77777777" w:rsidR="00855495" w:rsidRPr="00103856" w:rsidRDefault="00855495" w:rsidP="00855495">
          <w:pPr>
            <w:spacing w:after="0"/>
            <w:rPr>
              <w:rFonts w:ascii="Calibri" w:hAnsi="Calibri" w:cs="Calibri"/>
              <w:color w:val="000000"/>
            </w:rPr>
          </w:pPr>
          <w:r>
            <w:rPr>
              <w:rFonts w:ascii="Calibri" w:hAnsi="Calibri" w:cs="Calibri"/>
              <w:color w:val="000000"/>
            </w:rPr>
            <w:t>12.06.2024</w:t>
          </w:r>
        </w:p>
      </w:tc>
    </w:tr>
    <w:tr w:rsidR="005878F1" w:rsidRPr="00103856" w14:paraId="33C77319" w14:textId="77777777" w:rsidTr="005D1AC7">
      <w:tblPrEx>
        <w:tblCellMar>
          <w:left w:w="108" w:type="dxa"/>
          <w:right w:w="108" w:type="dxa"/>
        </w:tblCellMar>
      </w:tblPrEx>
      <w:trPr>
        <w:trHeight w:val="264"/>
      </w:trPr>
      <w:tc>
        <w:tcPr>
          <w:tcW w:w="2127" w:type="dxa"/>
          <w:vMerge/>
          <w:shd w:val="clear" w:color="auto" w:fill="auto"/>
        </w:tcPr>
        <w:p w14:paraId="6095B233" w14:textId="77777777" w:rsidR="005878F1" w:rsidRPr="00103856" w:rsidRDefault="005878F1" w:rsidP="005878F1">
          <w:pPr>
            <w:tabs>
              <w:tab w:val="center" w:pos="4536"/>
              <w:tab w:val="right" w:pos="9072"/>
            </w:tabs>
            <w:spacing w:after="0"/>
          </w:pPr>
        </w:p>
      </w:tc>
      <w:tc>
        <w:tcPr>
          <w:tcW w:w="3969" w:type="dxa"/>
          <w:vMerge/>
          <w:shd w:val="clear" w:color="auto" w:fill="auto"/>
        </w:tcPr>
        <w:p w14:paraId="69E24510" w14:textId="77777777" w:rsidR="005878F1" w:rsidRPr="00103856" w:rsidRDefault="005878F1" w:rsidP="005878F1">
          <w:pPr>
            <w:tabs>
              <w:tab w:val="center" w:pos="4536"/>
              <w:tab w:val="right" w:pos="9072"/>
            </w:tabs>
            <w:spacing w:after="0"/>
          </w:pPr>
        </w:p>
      </w:tc>
      <w:tc>
        <w:tcPr>
          <w:tcW w:w="1701" w:type="dxa"/>
          <w:shd w:val="clear" w:color="auto" w:fill="auto"/>
          <w:vAlign w:val="bottom"/>
        </w:tcPr>
        <w:p w14:paraId="28805E4A" w14:textId="77777777" w:rsidR="005878F1" w:rsidRPr="00103856" w:rsidRDefault="005878F1" w:rsidP="005878F1">
          <w:pPr>
            <w:spacing w:after="0"/>
            <w:rPr>
              <w:rFonts w:ascii="Calibri" w:hAnsi="Calibri" w:cs="Calibri"/>
              <w:color w:val="000000"/>
            </w:rPr>
          </w:pPr>
          <w:r w:rsidRPr="00103856">
            <w:rPr>
              <w:rFonts w:ascii="Calibri" w:hAnsi="Calibri" w:cs="Calibri"/>
              <w:color w:val="000000"/>
            </w:rPr>
            <w:t>Revizyon No:</w:t>
          </w:r>
        </w:p>
      </w:tc>
      <w:tc>
        <w:tcPr>
          <w:tcW w:w="1842" w:type="dxa"/>
          <w:shd w:val="clear" w:color="auto" w:fill="auto"/>
          <w:vAlign w:val="bottom"/>
        </w:tcPr>
        <w:p w14:paraId="5FAE10CD" w14:textId="6C783679" w:rsidR="005878F1" w:rsidRPr="00103856" w:rsidRDefault="005878F1" w:rsidP="005878F1">
          <w:pPr>
            <w:spacing w:after="0"/>
            <w:rPr>
              <w:rFonts w:ascii="Calibri" w:hAnsi="Calibri" w:cs="Calibri"/>
              <w:color w:val="000000"/>
            </w:rPr>
          </w:pPr>
          <w:r w:rsidRPr="00BB55FF">
            <w:rPr>
              <w:rFonts w:ascii="Calibri" w:eastAsia="Times New Roman" w:hAnsi="Calibri" w:cs="Calibri"/>
              <w:color w:val="000000"/>
              <w:sz w:val="20"/>
              <w:szCs w:val="20"/>
            </w:rPr>
            <w:t>00</w:t>
          </w:r>
        </w:p>
      </w:tc>
    </w:tr>
    <w:tr w:rsidR="005878F1" w:rsidRPr="00103856" w14:paraId="34FF441C" w14:textId="77777777" w:rsidTr="005D1AC7">
      <w:tblPrEx>
        <w:tblCellMar>
          <w:left w:w="108" w:type="dxa"/>
          <w:right w:w="108" w:type="dxa"/>
        </w:tblCellMar>
      </w:tblPrEx>
      <w:trPr>
        <w:trHeight w:val="246"/>
      </w:trPr>
      <w:tc>
        <w:tcPr>
          <w:tcW w:w="2127" w:type="dxa"/>
          <w:vMerge/>
          <w:shd w:val="clear" w:color="auto" w:fill="auto"/>
        </w:tcPr>
        <w:p w14:paraId="05974BC5" w14:textId="77777777" w:rsidR="005878F1" w:rsidRPr="00103856" w:rsidRDefault="005878F1" w:rsidP="005878F1">
          <w:pPr>
            <w:tabs>
              <w:tab w:val="center" w:pos="4536"/>
              <w:tab w:val="right" w:pos="9072"/>
            </w:tabs>
            <w:spacing w:after="0"/>
          </w:pPr>
        </w:p>
      </w:tc>
      <w:tc>
        <w:tcPr>
          <w:tcW w:w="3969" w:type="dxa"/>
          <w:vMerge/>
          <w:shd w:val="clear" w:color="auto" w:fill="auto"/>
        </w:tcPr>
        <w:p w14:paraId="18427533" w14:textId="77777777" w:rsidR="005878F1" w:rsidRPr="00103856" w:rsidRDefault="005878F1" w:rsidP="005878F1">
          <w:pPr>
            <w:tabs>
              <w:tab w:val="center" w:pos="4536"/>
              <w:tab w:val="right" w:pos="9072"/>
            </w:tabs>
            <w:spacing w:after="0"/>
          </w:pPr>
        </w:p>
      </w:tc>
      <w:tc>
        <w:tcPr>
          <w:tcW w:w="1701" w:type="dxa"/>
          <w:shd w:val="clear" w:color="auto" w:fill="auto"/>
          <w:vAlign w:val="bottom"/>
        </w:tcPr>
        <w:p w14:paraId="4896D495" w14:textId="77777777" w:rsidR="005878F1" w:rsidRPr="00103856" w:rsidRDefault="005878F1" w:rsidP="005878F1">
          <w:pPr>
            <w:spacing w:after="0"/>
            <w:rPr>
              <w:rFonts w:ascii="Calibri" w:hAnsi="Calibri" w:cs="Calibri"/>
              <w:color w:val="000000"/>
            </w:rPr>
          </w:pPr>
          <w:r w:rsidRPr="00103856">
            <w:rPr>
              <w:rFonts w:ascii="Calibri" w:hAnsi="Calibri" w:cs="Calibri"/>
              <w:color w:val="000000"/>
            </w:rPr>
            <w:t>Revizyon Tarihi:</w:t>
          </w:r>
        </w:p>
      </w:tc>
      <w:tc>
        <w:tcPr>
          <w:tcW w:w="1842" w:type="dxa"/>
          <w:shd w:val="clear" w:color="auto" w:fill="auto"/>
          <w:vAlign w:val="bottom"/>
        </w:tcPr>
        <w:p w14:paraId="5D6634AA" w14:textId="477284DE" w:rsidR="005878F1" w:rsidRPr="00103856" w:rsidRDefault="005878F1" w:rsidP="005878F1">
          <w:pPr>
            <w:spacing w:after="0"/>
            <w:rPr>
              <w:rFonts w:ascii="Calibri" w:hAnsi="Calibri" w:cs="Calibri"/>
              <w:color w:val="000000"/>
            </w:rPr>
          </w:pPr>
          <w:r w:rsidRPr="00BB55FF">
            <w:rPr>
              <w:rFonts w:ascii="Calibri" w:eastAsia="Times New Roman" w:hAnsi="Calibri" w:cs="Calibri"/>
              <w:color w:val="000000"/>
              <w:sz w:val="20"/>
              <w:szCs w:val="20"/>
            </w:rPr>
            <w:t>00.00.0000</w:t>
          </w:r>
        </w:p>
      </w:tc>
    </w:tr>
    <w:tr w:rsidR="005878F1" w:rsidRPr="00103856" w14:paraId="382A6F07" w14:textId="77777777" w:rsidTr="005D1AC7">
      <w:tblPrEx>
        <w:tblCellMar>
          <w:left w:w="108" w:type="dxa"/>
          <w:right w:w="108" w:type="dxa"/>
        </w:tblCellMar>
      </w:tblPrEx>
      <w:trPr>
        <w:trHeight w:val="50"/>
      </w:trPr>
      <w:tc>
        <w:tcPr>
          <w:tcW w:w="2127" w:type="dxa"/>
          <w:vMerge/>
          <w:shd w:val="clear" w:color="auto" w:fill="auto"/>
        </w:tcPr>
        <w:p w14:paraId="3FE4C4A8" w14:textId="77777777" w:rsidR="005878F1" w:rsidRPr="00103856" w:rsidRDefault="005878F1" w:rsidP="005878F1">
          <w:pPr>
            <w:tabs>
              <w:tab w:val="center" w:pos="4536"/>
              <w:tab w:val="right" w:pos="9072"/>
            </w:tabs>
            <w:spacing w:after="0"/>
          </w:pPr>
        </w:p>
      </w:tc>
      <w:tc>
        <w:tcPr>
          <w:tcW w:w="3969" w:type="dxa"/>
          <w:vMerge/>
          <w:shd w:val="clear" w:color="auto" w:fill="auto"/>
        </w:tcPr>
        <w:p w14:paraId="46593CBE" w14:textId="77777777" w:rsidR="005878F1" w:rsidRPr="00103856" w:rsidRDefault="005878F1" w:rsidP="005878F1">
          <w:pPr>
            <w:tabs>
              <w:tab w:val="center" w:pos="4536"/>
              <w:tab w:val="right" w:pos="9072"/>
            </w:tabs>
            <w:spacing w:after="0"/>
          </w:pPr>
        </w:p>
      </w:tc>
      <w:tc>
        <w:tcPr>
          <w:tcW w:w="1701" w:type="dxa"/>
          <w:shd w:val="clear" w:color="auto" w:fill="auto"/>
          <w:vAlign w:val="center"/>
        </w:tcPr>
        <w:p w14:paraId="687C2B73" w14:textId="77777777" w:rsidR="005878F1" w:rsidRPr="00103856" w:rsidRDefault="005878F1" w:rsidP="005878F1">
          <w:pPr>
            <w:spacing w:after="0"/>
            <w:rPr>
              <w:rFonts w:ascii="Calibri" w:hAnsi="Calibri" w:cs="Calibri"/>
              <w:color w:val="000000"/>
            </w:rPr>
          </w:pPr>
          <w:r w:rsidRPr="00103856">
            <w:rPr>
              <w:rFonts w:ascii="Calibri" w:hAnsi="Calibri" w:cs="Calibri"/>
              <w:color w:val="000000"/>
            </w:rPr>
            <w:t>Sayfa No:</w:t>
          </w:r>
        </w:p>
      </w:tc>
      <w:tc>
        <w:tcPr>
          <w:tcW w:w="1842" w:type="dxa"/>
          <w:shd w:val="clear" w:color="auto" w:fill="auto"/>
          <w:vAlign w:val="bottom"/>
        </w:tcPr>
        <w:p w14:paraId="7E9BC03A" w14:textId="42209C8C" w:rsidR="005878F1" w:rsidRPr="00103856" w:rsidRDefault="005878F1" w:rsidP="005878F1">
          <w:pPr>
            <w:spacing w:after="0"/>
            <w:rPr>
              <w:rFonts w:ascii="Calibri" w:hAnsi="Calibri" w:cs="Calibri"/>
              <w:color w:val="000000"/>
            </w:rPr>
          </w:pPr>
          <w:r w:rsidRPr="000B53FE">
            <w:rPr>
              <w:rFonts w:ascii="Calibri" w:eastAsia="Times New Roman" w:hAnsi="Calibri" w:cs="Calibri"/>
              <w:color w:val="000000"/>
              <w:sz w:val="20"/>
              <w:szCs w:val="20"/>
            </w:rPr>
            <w:fldChar w:fldCharType="begin"/>
          </w:r>
          <w:r w:rsidRPr="000B53FE">
            <w:rPr>
              <w:rFonts w:ascii="Calibri" w:eastAsia="Times New Roman" w:hAnsi="Calibri" w:cs="Calibri"/>
              <w:color w:val="000000"/>
              <w:sz w:val="20"/>
              <w:szCs w:val="20"/>
            </w:rPr>
            <w:instrText>PAGE  \* Arabic  \* MERGEFORMAT</w:instrText>
          </w:r>
          <w:r w:rsidRPr="000B53FE">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1</w:t>
          </w:r>
          <w:r w:rsidRPr="000B53FE">
            <w:rPr>
              <w:rFonts w:ascii="Calibri" w:eastAsia="Times New Roman" w:hAnsi="Calibri" w:cs="Calibri"/>
              <w:color w:val="000000"/>
              <w:sz w:val="20"/>
              <w:szCs w:val="20"/>
            </w:rPr>
            <w:fldChar w:fldCharType="end"/>
          </w:r>
          <w:r w:rsidRPr="000B53FE">
            <w:rPr>
              <w:rFonts w:ascii="Calibri" w:eastAsia="Times New Roman" w:hAnsi="Calibri" w:cs="Calibri"/>
              <w:color w:val="000000"/>
              <w:sz w:val="20"/>
              <w:szCs w:val="20"/>
            </w:rPr>
            <w:t xml:space="preserve"> / </w:t>
          </w:r>
          <w:r w:rsidRPr="000B53FE">
            <w:rPr>
              <w:rFonts w:ascii="Calibri" w:eastAsia="Times New Roman" w:hAnsi="Calibri" w:cs="Calibri"/>
              <w:color w:val="000000"/>
              <w:sz w:val="20"/>
              <w:szCs w:val="20"/>
            </w:rPr>
            <w:fldChar w:fldCharType="begin"/>
          </w:r>
          <w:r w:rsidRPr="000B53FE">
            <w:rPr>
              <w:rFonts w:ascii="Calibri" w:eastAsia="Times New Roman" w:hAnsi="Calibri" w:cs="Calibri"/>
              <w:color w:val="000000"/>
              <w:sz w:val="20"/>
              <w:szCs w:val="20"/>
            </w:rPr>
            <w:instrText>NUMPAGES  \* Arabic  \* MERGEFORMAT</w:instrText>
          </w:r>
          <w:r w:rsidRPr="000B53FE">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3</w:t>
          </w:r>
          <w:r w:rsidRPr="000B53FE">
            <w:rPr>
              <w:rFonts w:ascii="Calibri" w:eastAsia="Times New Roman" w:hAnsi="Calibri" w:cs="Calibri"/>
              <w:color w:val="000000"/>
              <w:sz w:val="20"/>
              <w:szCs w:val="20"/>
            </w:rPr>
            <w:fldChar w:fldCharType="end"/>
          </w:r>
        </w:p>
      </w:tc>
    </w:tr>
  </w:tbl>
  <w:p w14:paraId="0157459E" w14:textId="77777777" w:rsidR="009C5D20" w:rsidRDefault="009C5D20" w:rsidP="005D1A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0DD8"/>
    <w:multiLevelType w:val="hybridMultilevel"/>
    <w:tmpl w:val="7528064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084D99"/>
    <w:multiLevelType w:val="hybridMultilevel"/>
    <w:tmpl w:val="5336D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81DF3"/>
    <w:multiLevelType w:val="multilevel"/>
    <w:tmpl w:val="D6168864"/>
    <w:lvl w:ilvl="0">
      <w:start w:val="1"/>
      <w:numFmt w:val="decimal"/>
      <w:lvlText w:val="%1."/>
      <w:lvlJc w:val="left"/>
      <w:pPr>
        <w:ind w:left="360"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2CE0D66"/>
    <w:multiLevelType w:val="hybridMultilevel"/>
    <w:tmpl w:val="0FD4BB64"/>
    <w:lvl w:ilvl="0" w:tplc="8420342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48747E"/>
    <w:multiLevelType w:val="hybridMultilevel"/>
    <w:tmpl w:val="CC742DF6"/>
    <w:lvl w:ilvl="0" w:tplc="E94E0024">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FF2842"/>
    <w:multiLevelType w:val="hybridMultilevel"/>
    <w:tmpl w:val="6F6ABD10"/>
    <w:lvl w:ilvl="0" w:tplc="88F0EA16">
      <w:start w:val="1"/>
      <w:numFmt w:val="lowerLetter"/>
      <w:lvlText w:val="%1)"/>
      <w:lvlJc w:val="left"/>
      <w:pPr>
        <w:tabs>
          <w:tab w:val="num" w:pos="720"/>
        </w:tabs>
        <w:ind w:left="720" w:hanging="360"/>
      </w:pPr>
      <w:rPr>
        <w:rFonts w:hint="default"/>
        <w:b/>
        <w:color w:val="000000" w:themeColor="text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AF53D15"/>
    <w:multiLevelType w:val="hybridMultilevel"/>
    <w:tmpl w:val="025824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01F51B0"/>
    <w:multiLevelType w:val="hybridMultilevel"/>
    <w:tmpl w:val="D9A4F468"/>
    <w:lvl w:ilvl="0" w:tplc="041F000B">
      <w:start w:val="1"/>
      <w:numFmt w:val="bullet"/>
      <w:lvlText w:val=""/>
      <w:lvlJc w:val="left"/>
      <w:pPr>
        <w:ind w:left="720" w:hanging="360"/>
      </w:pPr>
      <w:rPr>
        <w:rFonts w:ascii="Wingdings" w:hAnsi="Wingdings" w:hint="default"/>
        <w:color w:val="000000" w:themeColor="text1"/>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BF1B19"/>
    <w:multiLevelType w:val="hybridMultilevel"/>
    <w:tmpl w:val="E7F8B634"/>
    <w:lvl w:ilvl="0" w:tplc="8D5A4F5E">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7720B7"/>
    <w:multiLevelType w:val="hybridMultilevel"/>
    <w:tmpl w:val="5850718E"/>
    <w:lvl w:ilvl="0" w:tplc="40EE693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7490626"/>
    <w:multiLevelType w:val="hybridMultilevel"/>
    <w:tmpl w:val="3C18BF40"/>
    <w:lvl w:ilvl="0" w:tplc="E6CA53C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212AFF"/>
    <w:multiLevelType w:val="hybridMultilevel"/>
    <w:tmpl w:val="ACE43B46"/>
    <w:lvl w:ilvl="0" w:tplc="B994F2FE">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2669A3"/>
    <w:multiLevelType w:val="hybridMultilevel"/>
    <w:tmpl w:val="BD88B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89E602B"/>
    <w:multiLevelType w:val="hybridMultilevel"/>
    <w:tmpl w:val="CC86B076"/>
    <w:lvl w:ilvl="0" w:tplc="DEC6EDF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9F30FF0"/>
    <w:multiLevelType w:val="multilevel"/>
    <w:tmpl w:val="9E2A5C18"/>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5" w15:restartNumberingAfterBreak="0">
    <w:nsid w:val="66786060"/>
    <w:multiLevelType w:val="hybridMultilevel"/>
    <w:tmpl w:val="2C0AC66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432DDC"/>
    <w:multiLevelType w:val="hybridMultilevel"/>
    <w:tmpl w:val="764CDD66"/>
    <w:lvl w:ilvl="0" w:tplc="4266BE6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A32CBA"/>
    <w:multiLevelType w:val="hybridMultilevel"/>
    <w:tmpl w:val="7FE28ACC"/>
    <w:lvl w:ilvl="0" w:tplc="F50ED734">
      <w:start w:val="1"/>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3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0A250D"/>
    <w:multiLevelType w:val="multilevel"/>
    <w:tmpl w:val="457C060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7CA52501"/>
    <w:multiLevelType w:val="hybridMultilevel"/>
    <w:tmpl w:val="7CFC53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984506567">
    <w:abstractNumId w:val="5"/>
  </w:num>
  <w:num w:numId="2" w16cid:durableId="297996073">
    <w:abstractNumId w:val="14"/>
  </w:num>
  <w:num w:numId="3" w16cid:durableId="2121996554">
    <w:abstractNumId w:val="4"/>
  </w:num>
  <w:num w:numId="4" w16cid:durableId="1297639985">
    <w:abstractNumId w:val="11"/>
  </w:num>
  <w:num w:numId="5" w16cid:durableId="938171959">
    <w:abstractNumId w:val="10"/>
  </w:num>
  <w:num w:numId="6" w16cid:durableId="766079742">
    <w:abstractNumId w:val="16"/>
  </w:num>
  <w:num w:numId="7" w16cid:durableId="1312637056">
    <w:abstractNumId w:val="3"/>
  </w:num>
  <w:num w:numId="8" w16cid:durableId="773289141">
    <w:abstractNumId w:val="13"/>
  </w:num>
  <w:num w:numId="9" w16cid:durableId="512375096">
    <w:abstractNumId w:val="0"/>
  </w:num>
  <w:num w:numId="10" w16cid:durableId="365645078">
    <w:abstractNumId w:val="2"/>
  </w:num>
  <w:num w:numId="11" w16cid:durableId="17053639">
    <w:abstractNumId w:val="9"/>
  </w:num>
  <w:num w:numId="12" w16cid:durableId="1526290895">
    <w:abstractNumId w:val="17"/>
  </w:num>
  <w:num w:numId="13" w16cid:durableId="12076548">
    <w:abstractNumId w:val="6"/>
  </w:num>
  <w:num w:numId="14" w16cid:durableId="354965171">
    <w:abstractNumId w:val="12"/>
  </w:num>
  <w:num w:numId="15" w16cid:durableId="1231110288">
    <w:abstractNumId w:val="1"/>
  </w:num>
  <w:num w:numId="16" w16cid:durableId="1881891328">
    <w:abstractNumId w:val="18"/>
  </w:num>
  <w:num w:numId="17" w16cid:durableId="1935899650">
    <w:abstractNumId w:val="7"/>
  </w:num>
  <w:num w:numId="18" w16cid:durableId="1104501908">
    <w:abstractNumId w:val="19"/>
  </w:num>
  <w:num w:numId="19" w16cid:durableId="1896089986">
    <w:abstractNumId w:val="8"/>
  </w:num>
  <w:num w:numId="20" w16cid:durableId="1658607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C6FF4"/>
    <w:rsid w:val="000011F7"/>
    <w:rsid w:val="00002A59"/>
    <w:rsid w:val="000035D4"/>
    <w:rsid w:val="00003F62"/>
    <w:rsid w:val="0002760F"/>
    <w:rsid w:val="00035BF2"/>
    <w:rsid w:val="00046C87"/>
    <w:rsid w:val="00067BC5"/>
    <w:rsid w:val="0007597C"/>
    <w:rsid w:val="00077790"/>
    <w:rsid w:val="0008468C"/>
    <w:rsid w:val="000952B3"/>
    <w:rsid w:val="000B0BA8"/>
    <w:rsid w:val="000B2F22"/>
    <w:rsid w:val="000C0C93"/>
    <w:rsid w:val="000C79F4"/>
    <w:rsid w:val="000D5946"/>
    <w:rsid w:val="000E3104"/>
    <w:rsid w:val="00114AE6"/>
    <w:rsid w:val="001366C0"/>
    <w:rsid w:val="00143977"/>
    <w:rsid w:val="00146184"/>
    <w:rsid w:val="00147029"/>
    <w:rsid w:val="00153F4F"/>
    <w:rsid w:val="0016247F"/>
    <w:rsid w:val="00186FAD"/>
    <w:rsid w:val="001D2A69"/>
    <w:rsid w:val="001D72E6"/>
    <w:rsid w:val="002367D2"/>
    <w:rsid w:val="00236D9D"/>
    <w:rsid w:val="0024379A"/>
    <w:rsid w:val="00256614"/>
    <w:rsid w:val="00262191"/>
    <w:rsid w:val="002707C3"/>
    <w:rsid w:val="00276598"/>
    <w:rsid w:val="002B0C89"/>
    <w:rsid w:val="002B1190"/>
    <w:rsid w:val="002B7198"/>
    <w:rsid w:val="002C1F5F"/>
    <w:rsid w:val="002E15BA"/>
    <w:rsid w:val="002E24D4"/>
    <w:rsid w:val="002E2D2D"/>
    <w:rsid w:val="0031663C"/>
    <w:rsid w:val="00316C84"/>
    <w:rsid w:val="00317D14"/>
    <w:rsid w:val="003319F9"/>
    <w:rsid w:val="003329C3"/>
    <w:rsid w:val="00334A0E"/>
    <w:rsid w:val="0037410E"/>
    <w:rsid w:val="00381E4A"/>
    <w:rsid w:val="00384F43"/>
    <w:rsid w:val="003876E5"/>
    <w:rsid w:val="003E3260"/>
    <w:rsid w:val="003E4A17"/>
    <w:rsid w:val="003F1A96"/>
    <w:rsid w:val="00400983"/>
    <w:rsid w:val="004017FA"/>
    <w:rsid w:val="004022A1"/>
    <w:rsid w:val="004037A9"/>
    <w:rsid w:val="00405947"/>
    <w:rsid w:val="0042242A"/>
    <w:rsid w:val="00424A12"/>
    <w:rsid w:val="00427A66"/>
    <w:rsid w:val="00430AB5"/>
    <w:rsid w:val="004318AF"/>
    <w:rsid w:val="00440A9B"/>
    <w:rsid w:val="00445D0D"/>
    <w:rsid w:val="00465B7D"/>
    <w:rsid w:val="0047405F"/>
    <w:rsid w:val="004762F1"/>
    <w:rsid w:val="004836D3"/>
    <w:rsid w:val="0049097F"/>
    <w:rsid w:val="004B06B9"/>
    <w:rsid w:val="004B4851"/>
    <w:rsid w:val="004D1235"/>
    <w:rsid w:val="005067EC"/>
    <w:rsid w:val="00524E8B"/>
    <w:rsid w:val="00525FC3"/>
    <w:rsid w:val="0053027F"/>
    <w:rsid w:val="00536FAA"/>
    <w:rsid w:val="005374F3"/>
    <w:rsid w:val="005418D9"/>
    <w:rsid w:val="00543AC0"/>
    <w:rsid w:val="00545CC1"/>
    <w:rsid w:val="00551D09"/>
    <w:rsid w:val="00557896"/>
    <w:rsid w:val="0056352E"/>
    <w:rsid w:val="005730B8"/>
    <w:rsid w:val="00577E46"/>
    <w:rsid w:val="005878F1"/>
    <w:rsid w:val="005913AA"/>
    <w:rsid w:val="005A3756"/>
    <w:rsid w:val="005B2140"/>
    <w:rsid w:val="005C081E"/>
    <w:rsid w:val="005D1AC7"/>
    <w:rsid w:val="005E2908"/>
    <w:rsid w:val="005E2D7E"/>
    <w:rsid w:val="005E7C62"/>
    <w:rsid w:val="005F6454"/>
    <w:rsid w:val="005F74D2"/>
    <w:rsid w:val="005F788D"/>
    <w:rsid w:val="00602347"/>
    <w:rsid w:val="006124E9"/>
    <w:rsid w:val="00615CB4"/>
    <w:rsid w:val="006269EA"/>
    <w:rsid w:val="00634EEE"/>
    <w:rsid w:val="00635ED0"/>
    <w:rsid w:val="00660829"/>
    <w:rsid w:val="00661D9D"/>
    <w:rsid w:val="00670FF4"/>
    <w:rsid w:val="00672B39"/>
    <w:rsid w:val="00675B76"/>
    <w:rsid w:val="0068529C"/>
    <w:rsid w:val="006C5C9A"/>
    <w:rsid w:val="006D5524"/>
    <w:rsid w:val="006F6CB4"/>
    <w:rsid w:val="00702A92"/>
    <w:rsid w:val="007134B8"/>
    <w:rsid w:val="007310D0"/>
    <w:rsid w:val="0073573B"/>
    <w:rsid w:val="00750818"/>
    <w:rsid w:val="00755ACD"/>
    <w:rsid w:val="00767E0E"/>
    <w:rsid w:val="00797C63"/>
    <w:rsid w:val="007A168A"/>
    <w:rsid w:val="007A3EF2"/>
    <w:rsid w:val="007B21B6"/>
    <w:rsid w:val="007C7B19"/>
    <w:rsid w:val="007D7D7B"/>
    <w:rsid w:val="00823C80"/>
    <w:rsid w:val="00827F06"/>
    <w:rsid w:val="00834E35"/>
    <w:rsid w:val="008521A1"/>
    <w:rsid w:val="00852C72"/>
    <w:rsid w:val="00855495"/>
    <w:rsid w:val="00865604"/>
    <w:rsid w:val="0087622A"/>
    <w:rsid w:val="00883E00"/>
    <w:rsid w:val="00894295"/>
    <w:rsid w:val="008B0B55"/>
    <w:rsid w:val="008B1C45"/>
    <w:rsid w:val="008B5BC7"/>
    <w:rsid w:val="008C4904"/>
    <w:rsid w:val="008E3249"/>
    <w:rsid w:val="008E3719"/>
    <w:rsid w:val="008E41A6"/>
    <w:rsid w:val="008E4483"/>
    <w:rsid w:val="008F7D6B"/>
    <w:rsid w:val="0090535A"/>
    <w:rsid w:val="00920952"/>
    <w:rsid w:val="00935521"/>
    <w:rsid w:val="00940468"/>
    <w:rsid w:val="00982F04"/>
    <w:rsid w:val="00990FCC"/>
    <w:rsid w:val="00993B0D"/>
    <w:rsid w:val="00996544"/>
    <w:rsid w:val="009A337F"/>
    <w:rsid w:val="009C5D20"/>
    <w:rsid w:val="009C6FF4"/>
    <w:rsid w:val="009D02E4"/>
    <w:rsid w:val="009D54D2"/>
    <w:rsid w:val="009E2372"/>
    <w:rsid w:val="009E60E0"/>
    <w:rsid w:val="00A2030F"/>
    <w:rsid w:val="00A23FD4"/>
    <w:rsid w:val="00A43939"/>
    <w:rsid w:val="00A53C44"/>
    <w:rsid w:val="00A60BF3"/>
    <w:rsid w:val="00A61613"/>
    <w:rsid w:val="00A83751"/>
    <w:rsid w:val="00A95FAF"/>
    <w:rsid w:val="00AB21BE"/>
    <w:rsid w:val="00AE4BC4"/>
    <w:rsid w:val="00B055C6"/>
    <w:rsid w:val="00B30F2F"/>
    <w:rsid w:val="00B32F83"/>
    <w:rsid w:val="00B4320D"/>
    <w:rsid w:val="00B47B89"/>
    <w:rsid w:val="00B52C92"/>
    <w:rsid w:val="00B53718"/>
    <w:rsid w:val="00B612FE"/>
    <w:rsid w:val="00B64444"/>
    <w:rsid w:val="00B728E4"/>
    <w:rsid w:val="00B73042"/>
    <w:rsid w:val="00B77D3B"/>
    <w:rsid w:val="00B84041"/>
    <w:rsid w:val="00B85B77"/>
    <w:rsid w:val="00BE6D56"/>
    <w:rsid w:val="00C03E9C"/>
    <w:rsid w:val="00C04327"/>
    <w:rsid w:val="00C319CF"/>
    <w:rsid w:val="00C713CF"/>
    <w:rsid w:val="00C74417"/>
    <w:rsid w:val="00C82E41"/>
    <w:rsid w:val="00CA11E0"/>
    <w:rsid w:val="00CA5284"/>
    <w:rsid w:val="00CB1633"/>
    <w:rsid w:val="00CC6D81"/>
    <w:rsid w:val="00CE0C90"/>
    <w:rsid w:val="00CE2357"/>
    <w:rsid w:val="00CF6AD1"/>
    <w:rsid w:val="00CF7B2F"/>
    <w:rsid w:val="00D0093F"/>
    <w:rsid w:val="00D05214"/>
    <w:rsid w:val="00D2636B"/>
    <w:rsid w:val="00D27663"/>
    <w:rsid w:val="00D32E92"/>
    <w:rsid w:val="00D42A2D"/>
    <w:rsid w:val="00D454B1"/>
    <w:rsid w:val="00D659AD"/>
    <w:rsid w:val="00D92A75"/>
    <w:rsid w:val="00D97843"/>
    <w:rsid w:val="00DA2D5A"/>
    <w:rsid w:val="00DA690F"/>
    <w:rsid w:val="00DA6F63"/>
    <w:rsid w:val="00DB2D5C"/>
    <w:rsid w:val="00DD2D67"/>
    <w:rsid w:val="00DE0792"/>
    <w:rsid w:val="00DE70B7"/>
    <w:rsid w:val="00E07CA1"/>
    <w:rsid w:val="00E22C89"/>
    <w:rsid w:val="00E308F3"/>
    <w:rsid w:val="00E512FF"/>
    <w:rsid w:val="00E54A1F"/>
    <w:rsid w:val="00E62AA9"/>
    <w:rsid w:val="00E66211"/>
    <w:rsid w:val="00E66C0B"/>
    <w:rsid w:val="00E71055"/>
    <w:rsid w:val="00E81064"/>
    <w:rsid w:val="00E87F73"/>
    <w:rsid w:val="00E96D26"/>
    <w:rsid w:val="00EA0705"/>
    <w:rsid w:val="00EA34DF"/>
    <w:rsid w:val="00EE0264"/>
    <w:rsid w:val="00EE5314"/>
    <w:rsid w:val="00F225DD"/>
    <w:rsid w:val="00F23D74"/>
    <w:rsid w:val="00F37440"/>
    <w:rsid w:val="00F50B7A"/>
    <w:rsid w:val="00F54ABF"/>
    <w:rsid w:val="00F57865"/>
    <w:rsid w:val="00F64612"/>
    <w:rsid w:val="00F705FA"/>
    <w:rsid w:val="00F721EB"/>
    <w:rsid w:val="00F907FF"/>
    <w:rsid w:val="00F927ED"/>
    <w:rsid w:val="00F9442D"/>
    <w:rsid w:val="00FA3BCE"/>
    <w:rsid w:val="00FB1370"/>
    <w:rsid w:val="00FB17B7"/>
    <w:rsid w:val="00FB421C"/>
    <w:rsid w:val="00FD7067"/>
    <w:rsid w:val="00FF08FC"/>
    <w:rsid w:val="00FF58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20573"/>
  <w15:docId w15:val="{3E52E92A-C877-4E78-A156-F11ED95F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6B9"/>
  </w:style>
  <w:style w:type="paragraph" w:styleId="Balk1">
    <w:name w:val="heading 1"/>
    <w:basedOn w:val="Normal"/>
    <w:next w:val="Normal"/>
    <w:link w:val="Balk1Char"/>
    <w:qFormat/>
    <w:rsid w:val="00852C72"/>
    <w:pPr>
      <w:keepNext/>
      <w:spacing w:after="0" w:line="240" w:lineRule="auto"/>
      <w:outlineLvl w:val="0"/>
    </w:pPr>
    <w:rPr>
      <w:rFonts w:ascii="Arial" w:eastAsia="Times New Roman" w:hAnsi="Arial" w:cs="Times New Roman"/>
      <w:b/>
      <w:bCs/>
      <w:sz w:val="14"/>
      <w:szCs w:val="20"/>
      <w:lang w:val="fr-FR"/>
    </w:rPr>
  </w:style>
  <w:style w:type="paragraph" w:styleId="Balk2">
    <w:name w:val="heading 2"/>
    <w:basedOn w:val="Normal"/>
    <w:next w:val="Normal"/>
    <w:link w:val="Balk2Char"/>
    <w:uiPriority w:val="9"/>
    <w:semiHidden/>
    <w:unhideWhenUsed/>
    <w:qFormat/>
    <w:rsid w:val="007C7B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C6FF4"/>
    <w:pPr>
      <w:tabs>
        <w:tab w:val="center" w:pos="4536"/>
        <w:tab w:val="right" w:pos="9072"/>
      </w:tabs>
      <w:spacing w:after="0" w:line="240" w:lineRule="auto"/>
    </w:pPr>
  </w:style>
  <w:style w:type="character" w:customStyle="1" w:styleId="stBilgiChar">
    <w:name w:val="Üst Bilgi Char"/>
    <w:basedOn w:val="VarsaylanParagrafYazTipi"/>
    <w:link w:val="stBilgi"/>
    <w:rsid w:val="009C6FF4"/>
  </w:style>
  <w:style w:type="paragraph" w:styleId="AltBilgi">
    <w:name w:val="footer"/>
    <w:basedOn w:val="Normal"/>
    <w:link w:val="AltBilgiChar"/>
    <w:uiPriority w:val="99"/>
    <w:unhideWhenUsed/>
    <w:rsid w:val="009C6F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6FF4"/>
  </w:style>
  <w:style w:type="table" w:styleId="TabloKlavuzu">
    <w:name w:val="Table Grid"/>
    <w:basedOn w:val="NormalTablo"/>
    <w:uiPriority w:val="59"/>
    <w:rsid w:val="009C6F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9C6F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6FF4"/>
    <w:rPr>
      <w:rFonts w:ascii="Tahoma" w:hAnsi="Tahoma" w:cs="Tahoma"/>
      <w:sz w:val="16"/>
      <w:szCs w:val="16"/>
    </w:rPr>
  </w:style>
  <w:style w:type="character" w:customStyle="1" w:styleId="Balk1Char">
    <w:name w:val="Başlık 1 Char"/>
    <w:basedOn w:val="VarsaylanParagrafYazTipi"/>
    <w:link w:val="Balk1"/>
    <w:rsid w:val="00852C72"/>
    <w:rPr>
      <w:rFonts w:ascii="Arial" w:eastAsia="Times New Roman" w:hAnsi="Arial" w:cs="Times New Roman"/>
      <w:b/>
      <w:bCs/>
      <w:sz w:val="14"/>
      <w:szCs w:val="20"/>
      <w:lang w:val="fr-FR"/>
    </w:rPr>
  </w:style>
  <w:style w:type="paragraph" w:styleId="NormalWeb">
    <w:name w:val="Normal (Web)"/>
    <w:basedOn w:val="Normal"/>
    <w:rsid w:val="00852C72"/>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ayfaNumaras">
    <w:name w:val="page number"/>
    <w:basedOn w:val="VarsaylanParagrafYazTipi"/>
    <w:rsid w:val="00852C72"/>
  </w:style>
  <w:style w:type="paragraph" w:styleId="GvdeMetni">
    <w:name w:val="Body Text"/>
    <w:basedOn w:val="Normal"/>
    <w:link w:val="GvdeMetniChar"/>
    <w:rsid w:val="00A83751"/>
    <w:pPr>
      <w:spacing w:after="0" w:line="240" w:lineRule="auto"/>
      <w:jc w:val="center"/>
    </w:pPr>
    <w:rPr>
      <w:rFonts w:ascii="Times New Roman" w:eastAsia="Times New Roman" w:hAnsi="Times New Roman" w:cs="Times New Roman"/>
      <w:b/>
      <w:sz w:val="18"/>
      <w:szCs w:val="20"/>
    </w:rPr>
  </w:style>
  <w:style w:type="character" w:customStyle="1" w:styleId="GvdeMetniChar">
    <w:name w:val="Gövde Metni Char"/>
    <w:basedOn w:val="VarsaylanParagrafYazTipi"/>
    <w:link w:val="GvdeMetni"/>
    <w:rsid w:val="00A83751"/>
    <w:rPr>
      <w:rFonts w:ascii="Times New Roman" w:eastAsia="Times New Roman" w:hAnsi="Times New Roman" w:cs="Times New Roman"/>
      <w:b/>
      <w:sz w:val="18"/>
      <w:szCs w:val="20"/>
    </w:rPr>
  </w:style>
  <w:style w:type="paragraph" w:styleId="ListeParagraf">
    <w:name w:val="List Paragraph"/>
    <w:aliases w:val="Elenco puntato"/>
    <w:basedOn w:val="Normal"/>
    <w:uiPriority w:val="1"/>
    <w:qFormat/>
    <w:rsid w:val="00A83751"/>
    <w:pPr>
      <w:ind w:left="720"/>
      <w:contextualSpacing/>
    </w:pPr>
  </w:style>
  <w:style w:type="character" w:customStyle="1" w:styleId="Balk2Char">
    <w:name w:val="Başlık 2 Char"/>
    <w:basedOn w:val="VarsaylanParagrafYazTipi"/>
    <w:link w:val="Balk2"/>
    <w:uiPriority w:val="9"/>
    <w:semiHidden/>
    <w:rsid w:val="007C7B19"/>
    <w:rPr>
      <w:rFonts w:asciiTheme="majorHAnsi" w:eastAsiaTheme="majorEastAsia" w:hAnsiTheme="majorHAnsi" w:cstheme="majorBidi"/>
      <w:color w:val="365F91" w:themeColor="accent1" w:themeShade="BF"/>
      <w:sz w:val="26"/>
      <w:szCs w:val="26"/>
    </w:rPr>
  </w:style>
  <w:style w:type="table" w:customStyle="1" w:styleId="TabloKlavuzu1">
    <w:name w:val="Tablo Kılavuzu1"/>
    <w:basedOn w:val="NormalTablo"/>
    <w:next w:val="TabloKlavuzu"/>
    <w:uiPriority w:val="59"/>
    <w:rsid w:val="00EA070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4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845F-4E07-4738-882B-8FC85D27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3</Pages>
  <Words>1037</Words>
  <Characters>5912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PC9</dc:creator>
  <cp:lastModifiedBy>Asus</cp:lastModifiedBy>
  <cp:revision>117</cp:revision>
  <cp:lastPrinted>2021-08-28T09:34:00Z</cp:lastPrinted>
  <dcterms:created xsi:type="dcterms:W3CDTF">2014-08-21T14:43:00Z</dcterms:created>
  <dcterms:modified xsi:type="dcterms:W3CDTF">2024-12-09T09:09:00Z</dcterms:modified>
</cp:coreProperties>
</file>